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right="59"/>
        <w:jc w:val="center"/>
        <w:rPr>
          <w:rFonts w:ascii="Arial" w:cs="Arial" w:eastAsia="Arial" w:hAnsi="Arial"/>
          <w:color w:val="ee0000"/>
          <w:sz w:val="24"/>
          <w:szCs w:val="24"/>
        </w:rPr>
      </w:pPr>
      <w:r w:rsidDel="00000000" w:rsidR="00000000" w:rsidRPr="00000000">
        <w:rPr>
          <w:rFonts w:ascii="Arial" w:cs="Arial" w:eastAsia="Arial" w:hAnsi="Arial"/>
          <w:b w:val="1"/>
          <w:bCs w:val="1"/>
          <w:sz w:val="24"/>
          <w:szCs w:val="24"/>
          <w:rtl w:val="0"/>
        </w:rPr>
        <w:t xml:space="preserve">JUDUL ARTIKEL </w:t>
      </w:r>
      <w:r w:rsidDel="00000000" w:rsidR="00000000" w:rsidRPr="00000000">
        <w:rPr>
          <w:rFonts w:ascii="Arial" w:cs="Arial" w:eastAsia="Arial" w:hAnsi="Arial"/>
          <w:color w:val="ee0000"/>
          <w:sz w:val="24"/>
          <w:szCs w:val="24"/>
          <w:rtl w:val="0"/>
        </w:rPr>
        <w:t xml:space="preserve">(</w:t>
      </w:r>
      <w:r w:rsidDel="00000000" w:rsidR="00000000" w:rsidRPr="00000000">
        <w:rPr>
          <w:rFonts w:ascii="Arial" w:cs="Arial" w:eastAsia="Arial" w:hAnsi="Arial"/>
          <w:i w:val="1"/>
          <w:iCs w:val="1"/>
          <w:color w:val="ee0000"/>
          <w:sz w:val="24"/>
          <w:szCs w:val="24"/>
          <w:rtl w:val="0"/>
        </w:rPr>
        <w:t xml:space="preserve">capital letter</w:t>
      </w:r>
      <w:r w:rsidDel="00000000" w:rsidR="00000000" w:rsidRPr="00000000">
        <w:rPr>
          <w:rFonts w:ascii="Arial" w:cs="Arial" w:eastAsia="Arial" w:hAnsi="Arial"/>
          <w:color w:val="ee0000"/>
          <w:sz w:val="24"/>
          <w:szCs w:val="24"/>
          <w:rtl w:val="0"/>
        </w:rPr>
        <w:t xml:space="preserve">, Arial 12 pt, </w:t>
      </w:r>
      <w:r w:rsidDel="00000000" w:rsidR="00000000" w:rsidRPr="00000000">
        <w:rPr>
          <w:rFonts w:ascii="Arial" w:cs="Arial" w:eastAsia="Arial" w:hAnsi="Arial"/>
          <w:i w:val="1"/>
          <w:iCs w:val="1"/>
          <w:color w:val="ee0000"/>
          <w:sz w:val="24"/>
          <w:szCs w:val="24"/>
          <w:rtl w:val="0"/>
        </w:rPr>
        <w:t xml:space="preserve">bold, </w:t>
      </w:r>
      <w:r w:rsidDel="00000000" w:rsidR="00000000" w:rsidRPr="00000000">
        <w:rPr>
          <w:rFonts w:ascii="Arial" w:cs="Arial" w:eastAsia="Arial" w:hAnsi="Arial"/>
          <w:color w:val="ee0000"/>
          <w:sz w:val="24"/>
          <w:szCs w:val="24"/>
          <w:rtl w:val="0"/>
        </w:rPr>
        <w:t xml:space="preserve">tidak lebih dari 12 kata) </w:t>
      </w:r>
    </w:p>
    <w:p w:rsidR="00000000" w:rsidDel="00000000" w:rsidP="00000000" w:rsidRDefault="00000000" w:rsidRPr="00000000" w14:paraId="00000002">
      <w:pPr>
        <w:ind w:right="59"/>
        <w:jc w:val="center"/>
        <w:rPr>
          <w:rFonts w:ascii="Arial" w:cs="Arial" w:eastAsia="Arial" w:hAnsi="Arial"/>
          <w:sz w:val="24"/>
          <w:szCs w:val="24"/>
        </w:rPr>
      </w:pPr>
      <w:r w:rsidDel="00000000" w:rsidR="00000000" w:rsidRPr="00000000">
        <w:rPr>
          <w:rFonts w:ascii="Arial" w:cs="Arial" w:eastAsia="Arial" w:hAnsi="Arial"/>
          <w:color w:val="ee0000"/>
          <w:sz w:val="24"/>
          <w:szCs w:val="24"/>
          <w:rtl w:val="0"/>
        </w:rPr>
        <w:t xml:space="preserve">(satu baris spasi kosong, 12 point font)</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bCs w:val="0"/>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4">
      <w:pPr>
        <w:ind w:right="59"/>
        <w:jc w:val="center"/>
        <w:rPr>
          <w:rFonts w:ascii="Arial" w:cs="Arial" w:eastAsia="Arial" w:hAnsi="Arial"/>
          <w:color w:val="ee0000"/>
          <w:sz w:val="24"/>
          <w:szCs w:val="24"/>
        </w:rPr>
      </w:pPr>
      <w:r w:rsidDel="00000000" w:rsidR="00000000" w:rsidRPr="00000000">
        <w:rPr>
          <w:rFonts w:ascii="Arial" w:cs="Arial" w:eastAsia="Arial" w:hAnsi="Arial"/>
          <w:b w:val="1"/>
          <w:bCs w:val="1"/>
          <w:sz w:val="24"/>
          <w:szCs w:val="24"/>
          <w:rtl w:val="0"/>
        </w:rPr>
        <w:t xml:space="preserve">Penulis Pertama</w:t>
      </w:r>
      <w:r w:rsidDel="00000000" w:rsidR="00000000" w:rsidRPr="00000000">
        <w:rPr>
          <w:rFonts w:ascii="Arial" w:cs="Arial" w:eastAsia="Arial" w:hAnsi="Arial"/>
          <w:sz w:val="26.666666666666668"/>
          <w:szCs w:val="26.666666666666668"/>
          <w:vertAlign w:val="superscript"/>
          <w:rtl w:val="0"/>
        </w:rPr>
        <w:t xml:space="preserve">1)</w:t>
      </w:r>
      <w:r w:rsidDel="00000000" w:rsidR="00000000" w:rsidRPr="00000000">
        <w:rPr>
          <w:rFonts w:ascii="Arial" w:cs="Arial" w:eastAsia="Arial" w:hAnsi="Arial"/>
          <w:b w:val="1"/>
          <w:bCs w:val="1"/>
          <w:sz w:val="24"/>
          <w:szCs w:val="24"/>
          <w:rtl w:val="0"/>
        </w:rPr>
        <w:t xml:space="preserve">, Penulis Kedua</w:t>
      </w:r>
      <w:r w:rsidDel="00000000" w:rsidR="00000000" w:rsidRPr="00000000">
        <w:rPr>
          <w:rFonts w:ascii="Arial" w:cs="Arial" w:eastAsia="Arial" w:hAnsi="Arial"/>
          <w:b w:val="1"/>
          <w:bCs w:val="1"/>
          <w:sz w:val="26.666666666666668"/>
          <w:szCs w:val="26.666666666666668"/>
          <w:vertAlign w:val="superscript"/>
          <w:rtl w:val="0"/>
        </w:rPr>
        <w:t xml:space="preserve">2)</w:t>
      </w:r>
      <w:r w:rsidDel="00000000" w:rsidR="00000000" w:rsidRPr="00000000">
        <w:rPr>
          <w:rFonts w:ascii="Arial" w:cs="Arial" w:eastAsia="Arial" w:hAnsi="Arial"/>
          <w:b w:val="1"/>
          <w:bCs w:val="1"/>
          <w:sz w:val="24"/>
          <w:szCs w:val="24"/>
          <w:rtl w:val="0"/>
        </w:rPr>
        <w:t xml:space="preserve">, dan Penulis Ketiga</w:t>
      </w:r>
      <w:r w:rsidDel="00000000" w:rsidR="00000000" w:rsidRPr="00000000">
        <w:rPr>
          <w:rFonts w:ascii="Arial" w:cs="Arial" w:eastAsia="Arial" w:hAnsi="Arial"/>
          <w:b w:val="1"/>
          <w:bCs w:val="1"/>
          <w:sz w:val="26.666666666666668"/>
          <w:szCs w:val="26.666666666666668"/>
          <w:vertAlign w:val="superscript"/>
          <w:rtl w:val="0"/>
        </w:rPr>
        <w:t xml:space="preserve">3) </w:t>
      </w:r>
      <w:r w:rsidDel="00000000" w:rsidR="00000000" w:rsidRPr="00000000">
        <w:rPr>
          <w:rFonts w:ascii="Arial" w:cs="Arial" w:eastAsia="Arial" w:hAnsi="Arial"/>
          <w:color w:val="ee0000"/>
          <w:sz w:val="24"/>
          <w:szCs w:val="24"/>
          <w:rtl w:val="0"/>
        </w:rPr>
        <w:t xml:space="preserve">(Arial 12 pt, bold)</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51"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ee0000"/>
          <w:sz w:val="24"/>
          <w:szCs w:val="24"/>
          <w:u w:val="none"/>
          <w:shd w:fill="auto" w:val="clear"/>
          <w:vertAlign w:val="baseline"/>
          <w:rtl w:val="0"/>
        </w:rPr>
        <w:t xml:space="preserve">(satu baris spasi kosong, 12 point font)</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bCs w:val="0"/>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9"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6.666666666666668"/>
          <w:szCs w:val="26.666666666666668"/>
          <w:u w:val="none"/>
          <w:shd w:fill="auto" w:val="clear"/>
          <w:vertAlign w:val="superscript"/>
          <w:rtl w:val="0"/>
        </w:rPr>
        <w:t xml:space="preserve">1</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Jurusan, Institusi </w:t>
      </w:r>
      <w:r w:rsidDel="00000000" w:rsidR="00000000" w:rsidRPr="00000000">
        <w:rPr>
          <w:rFonts w:ascii="Arial" w:cs="Arial" w:eastAsia="Arial" w:hAnsi="Arial"/>
          <w:b w:val="0"/>
          <w:bCs w:val="0"/>
          <w:i w:val="0"/>
          <w:iCs w:val="0"/>
          <w:smallCaps w:val="0"/>
          <w:strike w:val="0"/>
          <w:color w:val="ee0000"/>
          <w:sz w:val="24"/>
          <w:szCs w:val="24"/>
          <w:u w:val="none"/>
          <w:shd w:fill="auto" w:val="clear"/>
          <w:vertAlign w:val="baseline"/>
          <w:rtl w:val="0"/>
        </w:rPr>
        <w:t xml:space="preserve">(Arial 12 pt)</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9"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6.666666666666668"/>
          <w:szCs w:val="26.666666666666668"/>
          <w:u w:val="none"/>
          <w:shd w:fill="auto" w:val="clear"/>
          <w:vertAlign w:val="superscript"/>
          <w:rtl w:val="0"/>
        </w:rPr>
        <w:t xml:space="preserve">2</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Jurusan, Institusi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9"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6.666666666666668"/>
          <w:szCs w:val="26.666666666666668"/>
          <w:u w:val="none"/>
          <w:shd w:fill="auto" w:val="clear"/>
          <w:vertAlign w:val="superscript"/>
          <w:rtl w:val="0"/>
        </w:rPr>
        <w:t xml:space="preserve">3</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Jurusan, Institusi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59" w:firstLine="0"/>
        <w:jc w:val="center"/>
        <w:rPr>
          <w:rFonts w:ascii="Arial" w:cs="Arial" w:eastAsia="Arial" w:hAnsi="Arial"/>
          <w:b w:val="0"/>
          <w:bCs w:val="0"/>
          <w:i w:val="0"/>
          <w:iCs w:val="0"/>
          <w:smallCaps w:val="0"/>
          <w:strike w:val="0"/>
          <w:color w:val="ee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E-mail: </w:t>
      </w:r>
      <w:hyperlink r:id="rId7">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korespondensi@mail.com </w:t>
        </w:r>
      </w:hyperlink>
      <w:r w:rsidDel="00000000" w:rsidR="00000000" w:rsidRPr="00000000">
        <w:rPr>
          <w:rFonts w:ascii="Arial" w:cs="Arial" w:eastAsia="Arial" w:hAnsi="Arial"/>
          <w:b w:val="0"/>
          <w:bCs w:val="0"/>
          <w:i w:val="0"/>
          <w:iCs w:val="0"/>
          <w:smallCaps w:val="0"/>
          <w:strike w:val="0"/>
          <w:color w:val="ee0000"/>
          <w:sz w:val="24"/>
          <w:szCs w:val="24"/>
          <w:u w:val="none"/>
          <w:shd w:fill="auto" w:val="clear"/>
          <w:vertAlign w:val="baseline"/>
          <w:rtl w:val="0"/>
        </w:rPr>
        <w:t xml:space="preserve">(Arial 12 pt)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59"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ee0000"/>
          <w:sz w:val="24"/>
          <w:szCs w:val="24"/>
          <w:u w:val="none"/>
          <w:shd w:fill="auto" w:val="clear"/>
          <w:vertAlign w:val="baseline"/>
          <w:rtl w:val="0"/>
        </w:rPr>
        <w:t xml:space="preserve">(satu baris spasi kosong, 12 point font)</w:t>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bCs w:val="0"/>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D">
      <w:pPr>
        <w:spacing w:line="242" w:lineRule="auto"/>
        <w:ind w:right="59"/>
        <w:jc w:val="center"/>
        <w:rPr>
          <w:rFonts w:ascii="Arial" w:cs="Arial" w:eastAsia="Arial" w:hAnsi="Arial"/>
          <w:color w:val="ee0000"/>
          <w:sz w:val="20"/>
          <w:szCs w:val="20"/>
        </w:rPr>
      </w:pPr>
      <w:r w:rsidDel="00000000" w:rsidR="00000000" w:rsidRPr="00000000">
        <w:rPr>
          <w:rFonts w:ascii="Arial" w:cs="Arial" w:eastAsia="Arial" w:hAnsi="Arial"/>
          <w:b w:val="1"/>
          <w:bCs w:val="1"/>
          <w:sz w:val="20"/>
          <w:szCs w:val="20"/>
          <w:rtl w:val="0"/>
        </w:rPr>
        <w:t xml:space="preserve">Abstract </w:t>
      </w:r>
      <w:r w:rsidDel="00000000" w:rsidR="00000000" w:rsidRPr="00000000">
        <w:rPr>
          <w:rFonts w:ascii="Arial" w:cs="Arial" w:eastAsia="Arial" w:hAnsi="Arial"/>
          <w:color w:val="ee0000"/>
          <w:sz w:val="20"/>
          <w:szCs w:val="20"/>
          <w:rtl w:val="0"/>
        </w:rPr>
        <w:t xml:space="preserve">(Arial 10 pt, bold, tidak lebih dari 200 kata)</w:t>
      </w:r>
    </w:p>
    <w:p w:rsidR="00000000" w:rsidDel="00000000" w:rsidP="00000000" w:rsidRDefault="00000000" w:rsidRPr="00000000" w14:paraId="0000000E">
      <w:pPr>
        <w:jc w:val="center"/>
        <w:rPr>
          <w:rFonts w:ascii="Arial" w:cs="Arial" w:eastAsia="Arial" w:hAnsi="Arial"/>
          <w:color w:val="00b0f0"/>
          <w:sz w:val="20"/>
          <w:szCs w:val="20"/>
        </w:rPr>
      </w:pPr>
      <w:r w:rsidDel="00000000" w:rsidR="00000000" w:rsidRPr="00000000">
        <w:rPr>
          <w:rFonts w:ascii="Arial" w:cs="Arial" w:eastAsia="Arial" w:hAnsi="Arial"/>
          <w:color w:val="ee0000"/>
          <w:sz w:val="20"/>
          <w:szCs w:val="20"/>
          <w:rtl w:val="0"/>
        </w:rPr>
        <w:t xml:space="preserve">(satu baris spasi kosong, 10 point font)</w:t>
      </w:r>
      <w:r w:rsidDel="00000000" w:rsidR="00000000" w:rsidRPr="00000000">
        <w:rPr>
          <w:rtl w:val="0"/>
        </w:rPr>
      </w:r>
    </w:p>
    <w:p w:rsidR="00000000" w:rsidDel="00000000" w:rsidP="00000000" w:rsidRDefault="00000000" w:rsidRPr="00000000" w14:paraId="0000000F">
      <w:pPr>
        <w:jc w:val="center"/>
        <w:rPr>
          <w:rFonts w:ascii="Arial" w:cs="Arial" w:eastAsia="Arial" w:hAnsi="Arial"/>
          <w:color w:val="00b0f0"/>
          <w:sz w:val="20"/>
          <w:szCs w:val="20"/>
        </w:rPr>
      </w:pPr>
      <w:r w:rsidDel="00000000" w:rsidR="00000000" w:rsidRPr="00000000">
        <w:rPr>
          <w:rtl w:val="0"/>
        </w:rPr>
      </w:r>
    </w:p>
    <w:p w:rsidR="00000000" w:rsidDel="00000000" w:rsidP="00000000" w:rsidRDefault="00000000" w:rsidRPr="00000000" w14:paraId="00000010">
      <w:pPr>
        <w:ind w:right="59"/>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abstract should be written in English. The abstract is written with Arial font size 10 and single spacing. The abstract should summarize the paper's content, including problems, the aim of the research, the research method, the results, and the conclusions of the paper. It should not contain any references or displayed equations. The abstract should be no more than 200 words.</w:t>
      </w:r>
    </w:p>
    <w:p w:rsidR="00000000" w:rsidDel="00000000" w:rsidP="00000000" w:rsidRDefault="00000000" w:rsidRPr="00000000" w14:paraId="00000011">
      <w:pPr>
        <w:spacing w:before="3" w:line="228" w:lineRule="auto"/>
        <w:ind w:right="59"/>
        <w:jc w:val="both"/>
        <w:rPr>
          <w:rFonts w:ascii="Arial" w:cs="Arial" w:eastAsia="Arial" w:hAnsi="Arial"/>
          <w:color w:val="ee0000"/>
          <w:sz w:val="20"/>
          <w:szCs w:val="20"/>
        </w:rPr>
      </w:pPr>
      <w:r w:rsidDel="00000000" w:rsidR="00000000" w:rsidRPr="00000000">
        <w:rPr>
          <w:rFonts w:ascii="Arial" w:cs="Arial" w:eastAsia="Arial" w:hAnsi="Arial"/>
          <w:color w:val="ee0000"/>
          <w:sz w:val="20"/>
          <w:szCs w:val="20"/>
          <w:rtl w:val="0"/>
        </w:rPr>
        <w:t xml:space="preserve">(satu baris spasi kosong, 10 point font)</w:t>
      </w:r>
    </w:p>
    <w:p w:rsidR="00000000" w:rsidDel="00000000" w:rsidP="00000000" w:rsidRDefault="00000000" w:rsidRPr="00000000" w14:paraId="00000012">
      <w:pPr>
        <w:spacing w:line="242" w:lineRule="auto"/>
        <w:ind w:right="59"/>
        <w:jc w:val="both"/>
        <w:rPr>
          <w:rFonts w:ascii="Arial" w:cs="Arial" w:eastAsia="Arial" w:hAnsi="Arial"/>
          <w:color w:val="ee0000"/>
          <w:sz w:val="20"/>
          <w:szCs w:val="20"/>
        </w:rPr>
      </w:pPr>
      <w:r w:rsidDel="00000000" w:rsidR="00000000" w:rsidRPr="00000000">
        <w:rPr>
          <w:rFonts w:ascii="Arial" w:cs="Arial" w:eastAsia="Arial" w:hAnsi="Arial"/>
          <w:b w:val="1"/>
          <w:bCs w:val="1"/>
          <w:sz w:val="20"/>
          <w:szCs w:val="20"/>
          <w:rtl w:val="0"/>
        </w:rPr>
        <w:t xml:space="preserve">Keywords: </w:t>
      </w:r>
      <w:r w:rsidDel="00000000" w:rsidR="00000000" w:rsidRPr="00000000">
        <w:rPr>
          <w:rFonts w:ascii="Arial" w:cs="Arial" w:eastAsia="Arial" w:hAnsi="Arial"/>
          <w:i w:val="1"/>
          <w:iCs w:val="1"/>
          <w:sz w:val="20"/>
          <w:szCs w:val="20"/>
          <w:rtl w:val="0"/>
        </w:rPr>
        <w:t xml:space="preserve">up to 5 keywords in English </w:t>
      </w:r>
      <w:r w:rsidDel="00000000" w:rsidR="00000000" w:rsidRPr="00000000">
        <w:rPr>
          <w:rFonts w:ascii="Arial" w:cs="Arial" w:eastAsia="Arial" w:hAnsi="Arial"/>
          <w:color w:val="ee0000"/>
          <w:sz w:val="20"/>
          <w:szCs w:val="20"/>
          <w:rtl w:val="0"/>
        </w:rPr>
        <w:t xml:space="preserve">(Arial 10 pt, italics) </w:t>
      </w:r>
    </w:p>
    <w:p w:rsidR="00000000" w:rsidDel="00000000" w:rsidP="00000000" w:rsidRDefault="00000000" w:rsidRPr="00000000" w14:paraId="00000013">
      <w:pPr>
        <w:rPr>
          <w:rFonts w:ascii="Arial" w:cs="Arial" w:eastAsia="Arial" w:hAnsi="Arial"/>
          <w:color w:val="ee0000"/>
          <w:sz w:val="20"/>
          <w:szCs w:val="20"/>
        </w:rPr>
      </w:pPr>
      <w:r w:rsidDel="00000000" w:rsidR="00000000" w:rsidRPr="00000000">
        <w:rPr>
          <w:rFonts w:ascii="Arial" w:cs="Arial" w:eastAsia="Arial" w:hAnsi="Arial"/>
          <w:color w:val="ee0000"/>
          <w:sz w:val="20"/>
          <w:szCs w:val="20"/>
          <w:rtl w:val="0"/>
        </w:rPr>
        <w:t xml:space="preserve">(dua baris spasi kosong, 10 point font)</w:t>
      </w:r>
    </w:p>
    <w:p w:rsidR="00000000" w:rsidDel="00000000" w:rsidP="00000000" w:rsidRDefault="00000000" w:rsidRPr="00000000" w14:paraId="00000014">
      <w:pPr>
        <w:rPr>
          <w:rFonts w:ascii="Arial" w:cs="Arial" w:eastAsia="Arial" w:hAnsi="Arial"/>
          <w:color w:val="ee0000"/>
          <w:sz w:val="20"/>
          <w:szCs w:val="20"/>
        </w:rPr>
      </w:pPr>
      <w:r w:rsidDel="00000000" w:rsidR="00000000" w:rsidRPr="00000000">
        <w:rPr>
          <w:rtl w:val="0"/>
        </w:rPr>
      </w:r>
    </w:p>
    <w:p w:rsidR="00000000" w:rsidDel="00000000" w:rsidP="00000000" w:rsidRDefault="00000000" w:rsidRPr="00000000" w14:paraId="00000015">
      <w:pPr>
        <w:rPr>
          <w:rFonts w:ascii="Arial" w:cs="Arial" w:eastAsia="Arial" w:hAnsi="Arial"/>
          <w:color w:val="00b0f0"/>
          <w:sz w:val="20"/>
          <w:szCs w:val="20"/>
        </w:rPr>
      </w:pPr>
      <w:r w:rsidDel="00000000" w:rsidR="00000000" w:rsidRPr="00000000">
        <w:rPr>
          <w:rtl w:val="0"/>
        </w:rPr>
      </w:r>
    </w:p>
    <w:p w:rsidR="00000000" w:rsidDel="00000000" w:rsidP="00000000" w:rsidRDefault="00000000" w:rsidRPr="00000000" w14:paraId="00000016">
      <w:pPr>
        <w:spacing w:after="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PENDAHULUAN </w:t>
      </w:r>
      <w:r w:rsidDel="00000000" w:rsidR="00000000" w:rsidRPr="00000000">
        <w:rPr>
          <w:rFonts w:ascii="Arial" w:cs="Arial" w:eastAsia="Arial" w:hAnsi="Arial"/>
          <w:b w:val="1"/>
          <w:bCs w:val="1"/>
          <w:color w:val="ee0000"/>
          <w:sz w:val="24"/>
          <w:szCs w:val="24"/>
          <w:rtl w:val="0"/>
        </w:rPr>
        <w:t xml:space="preserve">(Arial, 12pt, bold, 12pt Line Spacing before-after)</w:t>
      </w:r>
      <w:r w:rsidDel="00000000" w:rsidR="00000000" w:rsidRPr="00000000">
        <w:rPr>
          <w:rtl w:val="0"/>
        </w:rPr>
      </w:r>
    </w:p>
    <w:p w:rsidR="00000000" w:rsidDel="00000000" w:rsidP="00000000" w:rsidRDefault="00000000" w:rsidRPr="00000000" w14:paraId="00000017">
      <w:pPr>
        <w:spacing w:line="360" w:lineRule="auto"/>
        <w:ind w:right="116" w:firstLine="720"/>
        <w:jc w:val="both"/>
        <w:rPr>
          <w:rFonts w:ascii="Arial" w:cs="Arial" w:eastAsia="Arial" w:hAnsi="Arial"/>
          <w:sz w:val="24"/>
          <w:szCs w:val="24"/>
        </w:rPr>
      </w:pPr>
      <w:r w:rsidDel="00000000" w:rsidR="00000000" w:rsidRPr="00000000">
        <w:rPr>
          <w:rFonts w:ascii="Arial" w:cs="Arial" w:eastAsia="Arial" w:hAnsi="Arial"/>
          <w:i w:val="1"/>
          <w:iCs w:val="1"/>
          <w:sz w:val="24"/>
          <w:szCs w:val="24"/>
          <w:rtl w:val="0"/>
        </w:rPr>
        <w:t xml:space="preserve">Template </w:t>
      </w:r>
      <w:r w:rsidDel="00000000" w:rsidR="00000000" w:rsidRPr="00000000">
        <w:rPr>
          <w:rFonts w:ascii="Arial" w:cs="Arial" w:eastAsia="Arial" w:hAnsi="Arial"/>
          <w:sz w:val="24"/>
          <w:szCs w:val="24"/>
          <w:rtl w:val="0"/>
        </w:rPr>
        <w:t xml:space="preserve">ini digunakan sebagai pedoman penulisan artikel Olimpiade Akuntansi Vokasi (OAV) IX tahun 2026. Artikel harus memuat </w:t>
      </w:r>
      <w:r w:rsidDel="00000000" w:rsidR="00000000" w:rsidRPr="00000000">
        <w:rPr>
          <w:rFonts w:ascii="Arial" w:cs="Arial" w:eastAsia="Arial" w:hAnsi="Arial"/>
          <w:b w:val="1"/>
          <w:bCs w:val="1"/>
          <w:color w:val="ee0000"/>
          <w:sz w:val="24"/>
          <w:szCs w:val="24"/>
          <w:rtl w:val="0"/>
        </w:rPr>
        <w:t xml:space="preserve">Pendahuluan, Metode Penelitian, Hasil dan Pembahasan, Simpulan dan Saran, </w:t>
      </w:r>
      <w:r w:rsidDel="00000000" w:rsidR="00000000" w:rsidRPr="00000000">
        <w:rPr>
          <w:rFonts w:ascii="Arial" w:cs="Arial" w:eastAsia="Arial" w:hAnsi="Arial"/>
          <w:color w:val="ee0000"/>
          <w:sz w:val="24"/>
          <w:szCs w:val="24"/>
          <w:rtl w:val="0"/>
        </w:rPr>
        <w:t xml:space="preserve">serta </w:t>
      </w:r>
      <w:r w:rsidDel="00000000" w:rsidR="00000000" w:rsidRPr="00000000">
        <w:rPr>
          <w:rFonts w:ascii="Arial" w:cs="Arial" w:eastAsia="Arial" w:hAnsi="Arial"/>
          <w:b w:val="1"/>
          <w:bCs w:val="1"/>
          <w:color w:val="ee0000"/>
          <w:sz w:val="24"/>
          <w:szCs w:val="24"/>
          <w:rtl w:val="0"/>
        </w:rPr>
        <w:t xml:space="preserve">Daftar Pustaka</w:t>
      </w:r>
      <w:r w:rsidDel="00000000" w:rsidR="00000000" w:rsidRPr="00000000">
        <w:rPr>
          <w:rFonts w:ascii="Arial" w:cs="Arial" w:eastAsia="Arial" w:hAnsi="Arial"/>
          <w:sz w:val="24"/>
          <w:szCs w:val="24"/>
          <w:rtl w:val="0"/>
        </w:rPr>
        <w:t xml:space="preserve">. Artikel </w:t>
      </w:r>
      <w:r w:rsidDel="00000000" w:rsidR="00000000" w:rsidRPr="00000000">
        <w:rPr>
          <w:rFonts w:ascii="Arial" w:cs="Arial" w:eastAsia="Arial" w:hAnsi="Arial"/>
          <w:b w:val="1"/>
          <w:bCs w:val="1"/>
          <w:sz w:val="24"/>
          <w:szCs w:val="24"/>
          <w:rtl w:val="0"/>
        </w:rPr>
        <w:t xml:space="preserve">ditulis dalam Bahasa Inggris</w:t>
      </w:r>
      <w:r w:rsidDel="00000000" w:rsidR="00000000" w:rsidRPr="00000000">
        <w:rPr>
          <w:rFonts w:ascii="Arial" w:cs="Arial" w:eastAsia="Arial" w:hAnsi="Arial"/>
          <w:sz w:val="24"/>
          <w:szCs w:val="24"/>
          <w:rtl w:val="0"/>
        </w:rPr>
        <w:t xml:space="preserve"> menggunakan jenis huruf Arial, font size 12, spasi 1.5, rata kiri kanan, margin kiri – kanan – atas – bawah masing-masing 3 cm, menggunakan kertas ukuran A4 (210 mm x 297 mm). Naskah minimum </w:t>
      </w:r>
      <w:r w:rsidDel="00000000" w:rsidR="00000000" w:rsidRPr="00000000">
        <w:rPr>
          <w:rFonts w:ascii="Arial" w:cs="Arial" w:eastAsia="Arial" w:hAnsi="Arial"/>
          <w:color w:val="ee0000"/>
          <w:sz w:val="24"/>
          <w:szCs w:val="24"/>
          <w:rtl w:val="0"/>
        </w:rPr>
        <w:t xml:space="preserve">terdiri dari 3000 kata dan maksimum 5000 kata</w:t>
      </w:r>
      <w:r w:rsidDel="00000000" w:rsidR="00000000" w:rsidRPr="00000000">
        <w:rPr>
          <w:rFonts w:ascii="Arial" w:cs="Arial" w:eastAsia="Arial" w:hAnsi="Arial"/>
          <w:sz w:val="24"/>
          <w:szCs w:val="24"/>
          <w:rtl w:val="0"/>
        </w:rPr>
        <w:t xml:space="preserve"> tidak termasuk judul, abstrak, referensi dan lampiran.</w:t>
      </w:r>
    </w:p>
    <w:p w:rsidR="00000000" w:rsidDel="00000000" w:rsidP="00000000" w:rsidRDefault="00000000" w:rsidRPr="00000000" w14:paraId="00000018">
      <w:pPr>
        <w:spacing w:line="360" w:lineRule="auto"/>
        <w:ind w:right="115"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Bagian pendahuluan meliputi: latar belakang, rumusan masalah atau pertanyaan penelitian, dan tujuan penelitian. Penulisan bagian-bagian dari pendahuluan ini tanpa menggunakan sub bab/sub judul. Sumber referensi berasal dari sumber-sumber primer (jurnal) terbitan 5 tahun terakhir. Sumber acuan yang dicantumkan di awal kalimat ditulis menggunakan sistem Nama (tahun), sedangkan bila dicantumkan di akhir kalimat menggunakan sistem (Nama, tahun). Kutipan langsung lebih dari 3 baris, ditulis menggunakan spasi 1, indentasi kiri-kanan.</w:t>
      </w:r>
    </w:p>
    <w:p w:rsidR="00000000" w:rsidDel="00000000" w:rsidP="00000000" w:rsidRDefault="00000000" w:rsidRPr="00000000" w14:paraId="00000019">
      <w:pPr>
        <w:spacing w:after="240" w:before="240"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METODE PENELITIAN </w:t>
      </w:r>
      <w:r w:rsidDel="00000000" w:rsidR="00000000" w:rsidRPr="00000000">
        <w:rPr>
          <w:rFonts w:ascii="Arial" w:cs="Arial" w:eastAsia="Arial" w:hAnsi="Arial"/>
          <w:b w:val="1"/>
          <w:bCs w:val="1"/>
          <w:color w:val="ee0000"/>
          <w:sz w:val="24"/>
          <w:szCs w:val="24"/>
          <w:rtl w:val="0"/>
        </w:rPr>
        <w:t xml:space="preserve">(Arial, 12pt, bold, 12pt Line Spacing before-after)</w:t>
      </w:r>
      <w:r w:rsidDel="00000000" w:rsidR="00000000" w:rsidRPr="00000000">
        <w:rPr>
          <w:rtl w:val="0"/>
        </w:rPr>
      </w:r>
    </w:p>
    <w:p w:rsidR="00000000" w:rsidDel="00000000" w:rsidP="00000000" w:rsidRDefault="00000000" w:rsidRPr="00000000" w14:paraId="0000001A">
      <w:pPr>
        <w:spacing w:before="137" w:line="360" w:lineRule="auto"/>
        <w:ind w:right="12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Metode penelitian setidak-tidaknya menguraikan pendekatan yang digunakan dalam penelitian, populasi dan sampel penelitian, menjelaskan definisi operasional variabel beserta alat pengukuran data atau cara mengumpulkan data, dan metode analisis data.</w:t>
      </w:r>
    </w:p>
    <w:p w:rsidR="00000000" w:rsidDel="00000000" w:rsidP="00000000" w:rsidRDefault="00000000" w:rsidRPr="00000000" w14:paraId="0000001B">
      <w:pPr>
        <w:spacing w:line="360" w:lineRule="auto"/>
        <w:ind w:right="125"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Apabila alat pengukuran data menggunakan kuesioner, maka perlu dicantumkan hasil uji validitas dan reliabilitas instrumen penelitian.</w:t>
      </w:r>
    </w:p>
    <w:p w:rsidR="00000000" w:rsidDel="00000000" w:rsidP="00000000" w:rsidRDefault="00000000" w:rsidRPr="00000000" w14:paraId="0000001C">
      <w:pPr>
        <w:spacing w:after="240" w:before="240"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HASIL DAN PEMBAHASAN </w:t>
      </w:r>
      <w:r w:rsidDel="00000000" w:rsidR="00000000" w:rsidRPr="00000000">
        <w:rPr>
          <w:rFonts w:ascii="Arial" w:cs="Arial" w:eastAsia="Arial" w:hAnsi="Arial"/>
          <w:b w:val="1"/>
          <w:bCs w:val="1"/>
          <w:color w:val="ee0000"/>
          <w:sz w:val="24"/>
          <w:szCs w:val="24"/>
          <w:rtl w:val="0"/>
        </w:rPr>
        <w:t xml:space="preserve">(Arial, 12pt, bold, 12pt Line Spacing before-after)</w:t>
      </w:r>
      <w:r w:rsidDel="00000000" w:rsidR="00000000" w:rsidRPr="00000000">
        <w:rPr>
          <w:rtl w:val="0"/>
        </w:rPr>
      </w:r>
    </w:p>
    <w:p w:rsidR="00000000" w:rsidDel="00000000" w:rsidP="00000000" w:rsidRDefault="00000000" w:rsidRPr="00000000" w14:paraId="0000001D">
      <w:pPr>
        <w:spacing w:before="137" w:line="360" w:lineRule="auto"/>
        <w:ind w:right="12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Cara penyajian pada bagian ini dapat dilakukan: 1) pembahasan terpisah dari hasil atau 2) pembahasan menyatu dengan penyajian hasil. Hasil yang dimaksud adalah rangkuman hasil-hasil analisis data, bukan hasil penelitian dalam bentuk data mentah. Hasil analisis data dari software pengolah data statistik disajikan dengan mengetik ulang dalam tabel yang disesuaikan dengan kebutuhan, </w:t>
      </w:r>
      <w:r w:rsidDel="00000000" w:rsidR="00000000" w:rsidRPr="00000000">
        <w:rPr>
          <w:rFonts w:ascii="Arial" w:cs="Arial" w:eastAsia="Arial" w:hAnsi="Arial"/>
          <w:b w:val="1"/>
          <w:bCs w:val="1"/>
          <w:sz w:val="24"/>
          <w:szCs w:val="24"/>
          <w:rtl w:val="0"/>
        </w:rPr>
        <w:t xml:space="preserve">bukan dengan cara meng-copy output hasil analisis.</w:t>
      </w:r>
      <w:r w:rsidDel="00000000" w:rsidR="00000000" w:rsidRPr="00000000">
        <w:rPr>
          <w:rFonts w:ascii="Arial" w:cs="Arial" w:eastAsia="Arial" w:hAnsi="Arial"/>
          <w:sz w:val="24"/>
          <w:szCs w:val="24"/>
          <w:rtl w:val="0"/>
        </w:rPr>
        <w:t xml:space="preserve"> Contoh penyajian data dalam bentuk tabel seperti Tabel 1.</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0" w:right="112"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Tabel 1. Judul Tabel</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ee0000"/>
          <w:sz w:val="24"/>
          <w:szCs w:val="24"/>
          <w:u w:val="none"/>
          <w:shd w:fill="auto" w:val="clear"/>
          <w:vertAlign w:val="baseline"/>
          <w:rtl w:val="0"/>
        </w:rPr>
        <w:t xml:space="preserve">(Arial, 12pt, 1 line space, bold)</w:t>
      </w:r>
      <w:r w:rsidDel="00000000" w:rsidR="00000000" w:rsidRPr="00000000">
        <w:rPr>
          <w:rtl w:val="0"/>
        </w:rPr>
      </w:r>
    </w:p>
    <w:tbl>
      <w:tblPr>
        <w:tblStyle w:val="Table1"/>
        <w:tblW w:w="8647.0" w:type="dxa"/>
        <w:jc w:val="center"/>
        <w:tblLayout w:type="fixed"/>
        <w:tblLook w:val="0000"/>
      </w:tblPr>
      <w:tblGrid>
        <w:gridCol w:w="3969"/>
        <w:gridCol w:w="992"/>
        <w:gridCol w:w="1276"/>
        <w:gridCol w:w="2410"/>
        <w:tblGridChange w:id="0">
          <w:tblGrid>
            <w:gridCol w:w="3969"/>
            <w:gridCol w:w="992"/>
            <w:gridCol w:w="1276"/>
            <w:gridCol w:w="2410"/>
          </w:tblGrid>
        </w:tblGridChange>
      </w:tblGrid>
      <w:tr>
        <w:trPr>
          <w:cantSplit w:val="0"/>
          <w:trHeight w:val="230" w:hRule="atLeast"/>
          <w:tblHeader w:val="0"/>
        </w:trPr>
        <w:tc>
          <w:tcPr>
            <w:tcBorders>
              <w:top w:color="000000" w:space="0" w:sz="4" w:val="single"/>
              <w:bottom w:color="000000" w:space="0" w:sz="4" w:val="single"/>
            </w:tcBorders>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16"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Kode Responden </w:t>
            </w:r>
            <w:r w:rsidDel="00000000" w:rsidR="00000000" w:rsidRPr="00000000">
              <w:rPr>
                <w:rFonts w:ascii="Arial" w:cs="Arial" w:eastAsia="Arial" w:hAnsi="Arial"/>
                <w:b w:val="1"/>
                <w:bCs w:val="1"/>
                <w:i w:val="0"/>
                <w:iCs w:val="0"/>
                <w:smallCaps w:val="0"/>
                <w:strike w:val="0"/>
                <w:color w:val="ee0000"/>
                <w:sz w:val="20"/>
                <w:szCs w:val="20"/>
                <w:u w:val="none"/>
                <w:shd w:fill="auto" w:val="clear"/>
                <w:vertAlign w:val="baseline"/>
                <w:rtl w:val="0"/>
              </w:rPr>
              <w:t xml:space="preserve">(Arial, 10pt, bold)</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123"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Usia</w:t>
            </w:r>
          </w:p>
        </w:tc>
        <w:tc>
          <w:tcPr>
            <w:tcBorders>
              <w:top w:color="000000" w:space="0" w:sz="4" w:val="single"/>
              <w:bottom w:color="000000" w:space="0" w:sz="4" w:val="single"/>
            </w:tcBorders>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133"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Semester</w:t>
            </w:r>
          </w:p>
        </w:tc>
        <w:tc>
          <w:tcPr>
            <w:tcBorders>
              <w:top w:color="000000" w:space="0" w:sz="4" w:val="single"/>
              <w:bottom w:color="000000" w:space="0" w:sz="4" w:val="single"/>
            </w:tcBorders>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133" w:firstLine="0"/>
              <w:jc w:val="center"/>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Skor Literasi Keuangan</w:t>
            </w:r>
          </w:p>
        </w:tc>
      </w:tr>
      <w:tr>
        <w:trPr>
          <w:cantSplit w:val="0"/>
          <w:trHeight w:val="231" w:hRule="atLeast"/>
          <w:tblHeader w:val="0"/>
        </w:trPr>
        <w:tc>
          <w:tcPr>
            <w:tcBorders>
              <w:top w:color="000000" w:space="0" w:sz="4" w:val="single"/>
            </w:tcBorders>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2"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R01 </w:t>
            </w:r>
            <w:r w:rsidDel="00000000" w:rsidR="00000000" w:rsidRPr="00000000">
              <w:rPr>
                <w:rFonts w:ascii="Arial" w:cs="Arial" w:eastAsia="Arial" w:hAnsi="Arial"/>
                <w:b w:val="0"/>
                <w:bCs w:val="0"/>
                <w:i w:val="0"/>
                <w:iCs w:val="0"/>
                <w:smallCaps w:val="0"/>
                <w:strike w:val="0"/>
                <w:color w:val="ee0000"/>
                <w:sz w:val="20"/>
                <w:szCs w:val="20"/>
                <w:u w:val="none"/>
                <w:shd w:fill="auto" w:val="clear"/>
                <w:vertAlign w:val="baseline"/>
                <w:rtl w:val="0"/>
              </w:rPr>
              <w:t xml:space="preserve">(Arial, 10pt)</w:t>
            </w:r>
            <w:r w:rsidDel="00000000" w:rsidR="00000000" w:rsidRPr="00000000">
              <w:rPr>
                <w:rtl w:val="0"/>
              </w:rPr>
            </w:r>
          </w:p>
        </w:tc>
        <w:tc>
          <w:tcPr>
            <w:tcBorders>
              <w:top w:color="000000" w:space="0" w:sz="4" w:val="single"/>
            </w:tcBorders>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2" w:lineRule="auto"/>
              <w:ind w:left="0" w:right="122"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19</w:t>
            </w:r>
          </w:p>
        </w:tc>
        <w:tc>
          <w:tcPr>
            <w:tcBorders>
              <w:top w:color="000000" w:space="0" w:sz="4" w:val="single"/>
            </w:tcBorders>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2" w:lineRule="auto"/>
              <w:ind w:left="0" w:right="133"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2</w:t>
            </w:r>
          </w:p>
        </w:tc>
        <w:tc>
          <w:tcPr>
            <w:tcBorders>
              <w:top w:color="000000" w:space="0" w:sz="4" w:val="single"/>
            </w:tcBorders>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2" w:lineRule="auto"/>
              <w:ind w:left="0" w:right="133"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78</w:t>
            </w:r>
          </w:p>
        </w:tc>
      </w:tr>
      <w:tr>
        <w:trPr>
          <w:cantSplit w:val="0"/>
          <w:trHeight w:val="229" w:hRule="atLeast"/>
          <w:tblHeader w:val="0"/>
        </w:trPr>
        <w:tc>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9"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R02</w:t>
            </w:r>
          </w:p>
        </w:tc>
        <w:tc>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9" w:lineRule="auto"/>
              <w:ind w:left="-9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20</w:t>
            </w:r>
          </w:p>
        </w:tc>
        <w:tc>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9" w:lineRule="auto"/>
              <w:ind w:left="-142" w:right="5"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9" w:lineRule="auto"/>
              <w:ind w:left="-142" w:right="5"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65</w:t>
            </w:r>
          </w:p>
        </w:tc>
      </w:tr>
      <w:tr>
        <w:trPr>
          <w:cantSplit w:val="0"/>
          <w:trHeight w:val="230" w:hRule="atLeast"/>
          <w:tblHeader w:val="0"/>
        </w:trPr>
        <w:tc>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R03</w:t>
            </w:r>
          </w:p>
        </w:tc>
        <w:tc>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122"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21</w:t>
            </w:r>
          </w:p>
        </w:tc>
        <w:tc>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133"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133"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83</w:t>
            </w:r>
          </w:p>
        </w:tc>
      </w:tr>
      <w:tr>
        <w:trPr>
          <w:cantSplit w:val="0"/>
          <w:trHeight w:val="230" w:hRule="atLeast"/>
          <w:tblHeader w:val="0"/>
        </w:trPr>
        <w:tc>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R04</w:t>
            </w:r>
          </w:p>
        </w:tc>
        <w:tc>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122"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22</w:t>
            </w:r>
          </w:p>
        </w:tc>
        <w:tc>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133"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8</w:t>
            </w:r>
          </w:p>
        </w:tc>
        <w:tc>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133"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74</w:t>
            </w:r>
          </w:p>
        </w:tc>
      </w:tr>
      <w:tr>
        <w:trPr>
          <w:cantSplit w:val="0"/>
          <w:trHeight w:val="229" w:hRule="atLeast"/>
          <w:tblHeader w:val="0"/>
        </w:trPr>
        <w:tc>
          <w:tcPr>
            <w:tcBorders>
              <w:bottom w:color="000000" w:space="0" w:sz="4" w:val="single"/>
            </w:tcBorders>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R05</w:t>
            </w:r>
          </w:p>
        </w:tc>
        <w:tc>
          <w:tcPr>
            <w:tcBorders>
              <w:bottom w:color="000000" w:space="0" w:sz="4" w:val="single"/>
            </w:tcBorders>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122"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20</w:t>
            </w:r>
          </w:p>
        </w:tc>
        <w:tc>
          <w:tcPr>
            <w:tcBorders>
              <w:bottom w:color="000000" w:space="0" w:sz="4" w:val="single"/>
            </w:tcBorders>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133"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4</w:t>
            </w:r>
          </w:p>
        </w:tc>
        <w:tc>
          <w:tcPr>
            <w:tcBorders>
              <w:bottom w:color="000000" w:space="0" w:sz="4" w:val="single"/>
            </w:tcBorders>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0" w:right="133"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88</w:t>
            </w:r>
          </w:p>
        </w:tc>
      </w:tr>
    </w:tbl>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bCs w:val="0"/>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Contoh penyajian data dalam bentuk gambar, grafik dan sejenisnya seperti pada Gambar 1.</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Pr>
        <w:drawing>
          <wp:inline distB="0" distT="0" distL="0" distR="0">
            <wp:extent cx="2989424" cy="1992832"/>
            <wp:effectExtent b="0" l="0" r="0" t="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989424" cy="1992832"/>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before="137" w:line="360" w:lineRule="auto"/>
        <w:ind w:right="120"/>
        <w:jc w:val="center"/>
        <w:rPr>
          <w:rFonts w:ascii="Arial" w:cs="Arial" w:eastAsia="Arial" w:hAnsi="Arial"/>
          <w:sz w:val="24"/>
          <w:szCs w:val="24"/>
        </w:rPr>
      </w:pPr>
      <w:r w:rsidDel="00000000" w:rsidR="00000000" w:rsidRPr="00000000">
        <w:rPr>
          <w:rFonts w:ascii="Arial" w:cs="Arial" w:eastAsia="Arial" w:hAnsi="Arial"/>
          <w:b w:val="1"/>
          <w:bCs w:val="1"/>
          <w:rtl w:val="0"/>
        </w:rPr>
        <w:t xml:space="preserve">Gambar 1. Proses Pembuatan Tahu</w:t>
      </w:r>
      <w:r w:rsidDel="00000000" w:rsidR="00000000" w:rsidRPr="00000000">
        <w:rPr>
          <w:rtl w:val="0"/>
        </w:rPr>
      </w:r>
    </w:p>
    <w:p w:rsidR="00000000" w:rsidDel="00000000" w:rsidP="00000000" w:rsidRDefault="00000000" w:rsidRPr="00000000" w14:paraId="0000003B">
      <w:pPr>
        <w:spacing w:after="240" w:before="24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3C">
      <w:pPr>
        <w:spacing w:after="240" w:befor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SIMPULAN </w:t>
      </w:r>
      <w:r w:rsidDel="00000000" w:rsidR="00000000" w:rsidRPr="00000000">
        <w:rPr>
          <w:rFonts w:ascii="Arial" w:cs="Arial" w:eastAsia="Arial" w:hAnsi="Arial"/>
          <w:b w:val="1"/>
          <w:bCs w:val="1"/>
          <w:color w:val="ee0000"/>
          <w:sz w:val="24"/>
          <w:szCs w:val="24"/>
          <w:rtl w:val="0"/>
        </w:rPr>
        <w:t xml:space="preserve">(Arial, 12pt, bold, 12pt Line Spacing before-after)</w:t>
      </w:r>
      <w:r w:rsidDel="00000000" w:rsidR="00000000" w:rsidRPr="00000000">
        <w:rPr>
          <w:rtl w:val="0"/>
        </w:rPr>
      </w:r>
    </w:p>
    <w:p w:rsidR="00000000" w:rsidDel="00000000" w:rsidP="00000000" w:rsidRDefault="00000000" w:rsidRPr="00000000" w14:paraId="0000003D">
      <w:pPr>
        <w:spacing w:before="139"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Simpulan merupakan ringkasan atas temuan penelitian dan implikasinya.</w:t>
      </w:r>
    </w:p>
    <w:p w:rsidR="00000000" w:rsidDel="00000000" w:rsidP="00000000" w:rsidRDefault="00000000" w:rsidRPr="00000000" w14:paraId="0000003E">
      <w:pPr>
        <w:spacing w:before="137"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Saran diberikan untuk pengembangan dan penelitian lanjutan.</w:t>
      </w:r>
    </w:p>
    <w:p w:rsidR="00000000" w:rsidDel="00000000" w:rsidP="00000000" w:rsidRDefault="00000000" w:rsidRPr="00000000" w14:paraId="0000003F">
      <w:pPr>
        <w:spacing w:after="240" w:befor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DAFTAR PUSTAKA </w:t>
      </w:r>
      <w:r w:rsidDel="00000000" w:rsidR="00000000" w:rsidRPr="00000000">
        <w:rPr>
          <w:rFonts w:ascii="Arial" w:cs="Arial" w:eastAsia="Arial" w:hAnsi="Arial"/>
          <w:b w:val="1"/>
          <w:bCs w:val="1"/>
          <w:color w:val="ee0000"/>
          <w:sz w:val="24"/>
          <w:szCs w:val="24"/>
          <w:rtl w:val="0"/>
        </w:rPr>
        <w:t xml:space="preserve">(Arial, 12pt, bold, 12pt Line Spacing before-after)</w:t>
      </w:r>
      <w:r w:rsidDel="00000000" w:rsidR="00000000" w:rsidRPr="00000000">
        <w:rPr>
          <w:rtl w:val="0"/>
        </w:rPr>
      </w:r>
    </w:p>
    <w:p w:rsidR="00000000" w:rsidDel="00000000" w:rsidP="00000000" w:rsidRDefault="00000000" w:rsidRPr="00000000" w14:paraId="00000040">
      <w:pPr>
        <w:spacing w:line="360" w:lineRule="auto"/>
        <w:ind w:firstLine="720"/>
        <w:jc w:val="both"/>
        <w:rPr>
          <w:rFonts w:ascii="Arial" w:cs="Arial" w:eastAsia="Arial" w:hAnsi="Arial"/>
        </w:rPr>
      </w:pPr>
      <w:r w:rsidDel="00000000" w:rsidR="00000000" w:rsidRPr="00000000">
        <w:rPr>
          <w:rFonts w:ascii="Arial" w:cs="Arial" w:eastAsia="Arial" w:hAnsi="Arial"/>
          <w:rtl w:val="0"/>
        </w:rPr>
        <w:t xml:space="preserve">Daftar pustaka merupakan bagian akhir dari makalah, ditulis dalam urutan alfabetis </w:t>
      </w:r>
      <w:r w:rsidDel="00000000" w:rsidR="00000000" w:rsidRPr="00000000">
        <w:rPr>
          <w:rFonts w:ascii="Arial" w:cs="Arial" w:eastAsia="Arial" w:hAnsi="Arial"/>
          <w:color w:val="ee0000"/>
          <w:rtl w:val="0"/>
        </w:rPr>
        <w:t xml:space="preserve">mengikuti APA Style</w:t>
      </w:r>
      <w:r w:rsidDel="00000000" w:rsidR="00000000" w:rsidRPr="00000000">
        <w:rPr>
          <w:rFonts w:ascii="Arial" w:cs="Arial" w:eastAsia="Arial" w:hAnsi="Arial"/>
          <w:rtl w:val="0"/>
        </w:rPr>
        <w:t xml:space="preserve"> </w:t>
      </w:r>
      <w:hyperlink r:id="rId9">
        <w:r w:rsidDel="00000000" w:rsidR="00000000" w:rsidRPr="00000000">
          <w:rPr>
            <w:rFonts w:ascii="Arial" w:cs="Arial" w:eastAsia="Arial" w:hAnsi="Arial"/>
            <w:rtl w:val="0"/>
          </w:rPr>
          <w:t xml:space="preserve">(htt</w:t>
        </w:r>
      </w:hyperlink>
      <w:r w:rsidDel="00000000" w:rsidR="00000000" w:rsidRPr="00000000">
        <w:rPr>
          <w:rFonts w:ascii="Arial" w:cs="Arial" w:eastAsia="Arial" w:hAnsi="Arial"/>
          <w:rtl w:val="0"/>
        </w:rPr>
        <w:t xml:space="preserve">p</w:t>
      </w:r>
      <w:hyperlink r:id="rId10">
        <w:r w:rsidDel="00000000" w:rsidR="00000000" w:rsidRPr="00000000">
          <w:rPr>
            <w:rFonts w:ascii="Arial" w:cs="Arial" w:eastAsia="Arial" w:hAnsi="Arial"/>
            <w:rtl w:val="0"/>
          </w:rPr>
          <w:t xml:space="preserve">://www.apastyle.org/). </w:t>
        </w:r>
      </w:hyperlink>
      <w:r w:rsidDel="00000000" w:rsidR="00000000" w:rsidRPr="00000000">
        <w:rPr>
          <w:rFonts w:ascii="Arial" w:cs="Arial" w:eastAsia="Arial" w:hAnsi="Arial"/>
          <w:rtl w:val="0"/>
        </w:rPr>
        <w:t xml:space="preserve">Susunannya memuat: nama penulis, tahun publikasi, judul paper atau textbook, nama jurnal atau penerbit, dan halaman. Berikut ini beberapa contoh cara penulisan daftar pustaka menurut APA Style. </w:t>
      </w:r>
      <w:r w:rsidDel="00000000" w:rsidR="00000000" w:rsidRPr="00000000">
        <w:rPr>
          <w:rFonts w:ascii="Arial" w:cs="Arial" w:eastAsia="Arial" w:hAnsi="Arial"/>
          <w:b w:val="1"/>
          <w:bCs w:val="1"/>
          <w:color w:val="ee0000"/>
          <w:rtl w:val="0"/>
        </w:rPr>
        <w:t xml:space="preserve">Disarankan menggunakan aplikasi Mendeley</w:t>
      </w:r>
      <w:r w:rsidDel="00000000" w:rsidR="00000000" w:rsidRPr="00000000">
        <w:rPr>
          <w:rFonts w:ascii="Arial" w:cs="Arial" w:eastAsia="Arial" w:hAnsi="Arial"/>
          <w:rtl w:val="0"/>
        </w:rPr>
        <w:t xml:space="preserve">.</w:t>
      </w:r>
    </w:p>
    <w:p w:rsidR="00000000" w:rsidDel="00000000" w:rsidP="00000000" w:rsidRDefault="00000000" w:rsidRPr="00000000" w14:paraId="00000041">
      <w:pPr>
        <w:spacing w:line="360" w:lineRule="auto"/>
        <w:jc w:val="both"/>
        <w:rPr/>
      </w:pPr>
      <w:r w:rsidDel="00000000" w:rsidR="00000000" w:rsidRPr="00000000">
        <w:rPr>
          <w:rtl w:val="0"/>
        </w:rPr>
      </w:r>
    </w:p>
    <w:p w:rsidR="00000000" w:rsidDel="00000000" w:rsidP="00000000" w:rsidRDefault="00000000" w:rsidRPr="00000000" w14:paraId="00000042">
      <w:pPr>
        <w:spacing w:before="1" w:lineRule="auto"/>
        <w:ind w:left="284" w:right="3" w:hanging="284"/>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Reference List: Author/Authors</w:t>
      </w:r>
    </w:p>
    <w:p w:rsidR="00000000" w:rsidDel="00000000" w:rsidP="00000000" w:rsidRDefault="00000000" w:rsidRPr="00000000" w14:paraId="00000043">
      <w:pPr>
        <w:ind w:left="284" w:right="3" w:hanging="284"/>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44">
      <w:pPr>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One Author</w:t>
      </w:r>
    </w:p>
    <w:p w:rsidR="00000000" w:rsidDel="00000000" w:rsidP="00000000" w:rsidRDefault="00000000" w:rsidRPr="00000000" w14:paraId="00000045">
      <w:pPr>
        <w:ind w:left="284" w:right="3" w:hanging="284"/>
        <w:rPr>
          <w:rFonts w:ascii="Arial" w:cs="Arial" w:eastAsia="Arial" w:hAnsi="Arial"/>
          <w:sz w:val="24"/>
          <w:szCs w:val="24"/>
        </w:rPr>
      </w:pPr>
      <w:r w:rsidDel="00000000" w:rsidR="00000000" w:rsidRPr="00000000">
        <w:rPr>
          <w:rFonts w:ascii="Arial" w:cs="Arial" w:eastAsia="Arial" w:hAnsi="Arial"/>
          <w:sz w:val="24"/>
          <w:szCs w:val="24"/>
          <w:rtl w:val="0"/>
        </w:rPr>
        <w:t xml:space="preserve">Suwardjono. (2018). Teori akuntansi: Perekayasaan pelaporan keuangan (Edisi 3). BPFE.</w:t>
      </w:r>
    </w:p>
    <w:p w:rsidR="00000000" w:rsidDel="00000000" w:rsidP="00000000" w:rsidRDefault="00000000" w:rsidRPr="00000000" w14:paraId="00000046">
      <w:pPr>
        <w:ind w:left="284" w:right="3" w:hanging="284"/>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47">
      <w:pPr>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Two Authors</w:t>
      </w:r>
    </w:p>
    <w:p w:rsidR="00000000" w:rsidDel="00000000" w:rsidP="00000000" w:rsidRDefault="00000000" w:rsidRPr="00000000" w14:paraId="00000048">
      <w:pPr>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Dechow, P. M., &amp; Skinner, D. J. (2000). Earnings management: Reconciling the views of accounting academics, practitioners, and regulators. Accounting Horizons, 14(2), 235–250.</w:t>
      </w:r>
    </w:p>
    <w:p w:rsidR="00000000" w:rsidDel="00000000" w:rsidP="00000000" w:rsidRDefault="00000000" w:rsidRPr="00000000" w14:paraId="00000049">
      <w:pPr>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Hery, &amp; Widyawati, D. (2020). Akuntansi keuangan menengah. Grasindo.</w:t>
      </w:r>
    </w:p>
    <w:p w:rsidR="00000000" w:rsidDel="00000000" w:rsidP="00000000" w:rsidRDefault="00000000" w:rsidRPr="00000000" w14:paraId="0000004A">
      <w:pPr>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B">
      <w:pPr>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Three to Seven Authors</w:t>
      </w:r>
    </w:p>
    <w:p w:rsidR="00000000" w:rsidDel="00000000" w:rsidP="00000000" w:rsidRDefault="00000000" w:rsidRPr="00000000" w14:paraId="0000004C">
      <w:pPr>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Healy, P. M., Hutton, A. P., &amp; Palepu, K. G. (1999). Stock performance and intermediation changes surrounding sustained increases in disclosure. Contemporary Accounting Research, 16(3), 485–520.</w:t>
      </w:r>
    </w:p>
    <w:p w:rsidR="00000000" w:rsidDel="00000000" w:rsidP="00000000" w:rsidRDefault="00000000" w:rsidRPr="00000000" w14:paraId="0000004D">
      <w:pPr>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Weygandt, J. J., Kimmel, P. D., &amp; Kieso, D. E. (2020). Financial accounting (11th ed.). Wiley.</w:t>
      </w:r>
    </w:p>
    <w:p w:rsidR="00000000" w:rsidDel="00000000" w:rsidP="00000000" w:rsidRDefault="00000000" w:rsidRPr="00000000" w14:paraId="0000004E">
      <w:pPr>
        <w:spacing w:before="6" w:lineRule="auto"/>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F">
      <w:pPr>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More Than Seven Authors</w:t>
      </w:r>
    </w:p>
    <w:p w:rsidR="00000000" w:rsidDel="00000000" w:rsidP="00000000" w:rsidRDefault="00000000" w:rsidRPr="00000000" w14:paraId="00000050">
      <w:pPr>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Bushman, R. M., Piotroski, J. D., Smith, A. J., Chen, Q., Cheng, Q., Dhaliwal, D., . . . Zhang, X. (2004). Financial reporting incentives for conservative accounting: The influence of legal and political institutions. Journal of Accounting and Economics, 38(1–3), 1–37.</w:t>
      </w:r>
    </w:p>
    <w:p w:rsidR="00000000" w:rsidDel="00000000" w:rsidP="00000000" w:rsidRDefault="00000000" w:rsidRPr="00000000" w14:paraId="00000051">
      <w:pPr>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2">
      <w:pPr>
        <w:spacing w:before="1" w:lineRule="auto"/>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Organization as Author.</w:t>
      </w:r>
    </w:p>
    <w:p w:rsidR="00000000" w:rsidDel="00000000" w:rsidP="00000000" w:rsidRDefault="00000000" w:rsidRPr="00000000" w14:paraId="00000053">
      <w:pPr>
        <w:ind w:left="284" w:right="3" w:hanging="284"/>
        <w:rPr>
          <w:rFonts w:ascii="Arial" w:cs="Arial" w:eastAsia="Arial" w:hAnsi="Arial"/>
          <w:sz w:val="24"/>
          <w:szCs w:val="24"/>
        </w:rPr>
      </w:pPr>
      <w:r w:rsidDel="00000000" w:rsidR="00000000" w:rsidRPr="00000000">
        <w:rPr>
          <w:rFonts w:ascii="Arial" w:cs="Arial" w:eastAsia="Arial" w:hAnsi="Arial"/>
          <w:sz w:val="24"/>
          <w:szCs w:val="24"/>
          <w:rtl w:val="0"/>
        </w:rPr>
        <w:t xml:space="preserve">International Accounting Standards Board. (2018). Conceptual framework for financial reporting. IFRS Foundation.</w:t>
      </w:r>
    </w:p>
    <w:p w:rsidR="00000000" w:rsidDel="00000000" w:rsidP="00000000" w:rsidRDefault="00000000" w:rsidRPr="00000000" w14:paraId="00000054">
      <w:pPr>
        <w:spacing w:before="11" w:lineRule="auto"/>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5">
      <w:pPr>
        <w:spacing w:line="275" w:lineRule="auto"/>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Unknown Author</w:t>
      </w:r>
    </w:p>
    <w:p w:rsidR="00000000" w:rsidDel="00000000" w:rsidP="00000000" w:rsidRDefault="00000000" w:rsidRPr="00000000" w14:paraId="00000056">
      <w:pPr>
        <w:spacing w:line="242" w:lineRule="auto"/>
        <w:ind w:left="284" w:right="3" w:hanging="284"/>
        <w:rPr>
          <w:rFonts w:ascii="Arial" w:cs="Arial" w:eastAsia="Arial" w:hAnsi="Arial"/>
          <w:sz w:val="24"/>
          <w:szCs w:val="24"/>
        </w:rPr>
      </w:pPr>
      <w:r w:rsidDel="00000000" w:rsidR="00000000" w:rsidRPr="00000000">
        <w:rPr>
          <w:rFonts w:ascii="Arial" w:cs="Arial" w:eastAsia="Arial" w:hAnsi="Arial"/>
          <w:i w:val="1"/>
          <w:iCs w:val="1"/>
          <w:sz w:val="24"/>
          <w:szCs w:val="24"/>
          <w:rtl w:val="0"/>
        </w:rPr>
        <w:t xml:space="preserve">Dictionary of accounting terms (3rd ed.). (2015). McGraw-Hill Education.</w:t>
      </w:r>
      <w:r w:rsidDel="00000000" w:rsidR="00000000" w:rsidRPr="00000000">
        <w:rPr>
          <w:rtl w:val="0"/>
        </w:rPr>
      </w:r>
    </w:p>
    <w:p w:rsidR="00000000" w:rsidDel="00000000" w:rsidP="00000000" w:rsidRDefault="00000000" w:rsidRPr="00000000" w14:paraId="00000057">
      <w:pPr>
        <w:spacing w:before="7" w:lineRule="auto"/>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8">
      <w:pPr>
        <w:ind w:left="284" w:right="3" w:hanging="284"/>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59">
      <w:pPr>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Two or More Works by the Same Author</w:t>
      </w:r>
    </w:p>
    <w:p w:rsidR="00000000" w:rsidDel="00000000" w:rsidP="00000000" w:rsidRDefault="00000000" w:rsidRPr="00000000" w14:paraId="0000005A">
      <w:pPr>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Watts, R. L. (2003). Conservatism in accounting: Part I—Explanations and implications. Accounting Horizons, 17(3), 207–221.</w:t>
      </w:r>
    </w:p>
    <w:p w:rsidR="00000000" w:rsidDel="00000000" w:rsidP="00000000" w:rsidRDefault="00000000" w:rsidRPr="00000000" w14:paraId="0000005B">
      <w:pPr>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Watts, R. L. (2003). Conservatism in accounting: Part II—Evidence and research opportunities. Accounting Horizons, 17(4), 287–301.</w:t>
      </w:r>
    </w:p>
    <w:p w:rsidR="00000000" w:rsidDel="00000000" w:rsidP="00000000" w:rsidRDefault="00000000" w:rsidRPr="00000000" w14:paraId="0000005C">
      <w:pPr>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Watts, R. L., &amp; Zimmerman, J. L. (1986). Positive accounting theory. Prentice Hall..</w:t>
      </w:r>
    </w:p>
    <w:p w:rsidR="00000000" w:rsidDel="00000000" w:rsidP="00000000" w:rsidRDefault="00000000" w:rsidRPr="00000000" w14:paraId="0000005D">
      <w:pPr>
        <w:spacing w:before="10" w:lineRule="auto"/>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E">
      <w:pPr>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Two or More Works by the Same Author in the Same Year</w:t>
      </w:r>
    </w:p>
    <w:p w:rsidR="00000000" w:rsidDel="00000000" w:rsidP="00000000" w:rsidRDefault="00000000" w:rsidRPr="00000000" w14:paraId="0000005F">
      <w:pPr>
        <w:spacing w:line="275" w:lineRule="auto"/>
        <w:ind w:left="284" w:right="3" w:hanging="284"/>
        <w:rPr>
          <w:rFonts w:ascii="Arial" w:cs="Arial" w:eastAsia="Arial" w:hAnsi="Arial"/>
          <w:sz w:val="24"/>
          <w:szCs w:val="24"/>
        </w:rPr>
      </w:pPr>
      <w:r w:rsidDel="00000000" w:rsidR="00000000" w:rsidRPr="00000000">
        <w:rPr>
          <w:rFonts w:ascii="Arial" w:cs="Arial" w:eastAsia="Arial" w:hAnsi="Arial"/>
          <w:sz w:val="24"/>
          <w:szCs w:val="24"/>
          <w:rtl w:val="0"/>
        </w:rPr>
        <w:t xml:space="preserve">Scott, W. R. (2015a). Financial accounting theory (7th ed.). Pearson.</w:t>
      </w:r>
    </w:p>
    <w:p w:rsidR="00000000" w:rsidDel="00000000" w:rsidP="00000000" w:rsidRDefault="00000000" w:rsidRPr="00000000" w14:paraId="00000060">
      <w:pPr>
        <w:spacing w:line="275" w:lineRule="auto"/>
        <w:ind w:left="284" w:right="3" w:hanging="284"/>
        <w:rPr>
          <w:rFonts w:ascii="Arial" w:cs="Arial" w:eastAsia="Arial" w:hAnsi="Arial"/>
          <w:sz w:val="24"/>
          <w:szCs w:val="24"/>
        </w:rPr>
      </w:pPr>
      <w:r w:rsidDel="00000000" w:rsidR="00000000" w:rsidRPr="00000000">
        <w:rPr>
          <w:rFonts w:ascii="Arial" w:cs="Arial" w:eastAsia="Arial" w:hAnsi="Arial"/>
          <w:sz w:val="24"/>
          <w:szCs w:val="24"/>
          <w:rtl w:val="0"/>
        </w:rPr>
        <w:t xml:space="preserve">Scott, W. R. (2015b). The information perspective in financial accounting. Accounting Perspectives, 14(2), 79–101.</w:t>
      </w:r>
    </w:p>
    <w:p w:rsidR="00000000" w:rsidDel="00000000" w:rsidP="00000000" w:rsidRDefault="00000000" w:rsidRPr="00000000" w14:paraId="00000061">
      <w:pPr>
        <w:spacing w:before="3" w:lineRule="auto"/>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2">
      <w:pPr>
        <w:spacing w:line="275" w:lineRule="auto"/>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Introductions, Prefaces, Forewords, and Afterwords</w:t>
      </w:r>
    </w:p>
    <w:p w:rsidR="00000000" w:rsidDel="00000000" w:rsidP="00000000" w:rsidRDefault="00000000" w:rsidRPr="00000000" w14:paraId="00000063">
      <w:pPr>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Kieso, D. E., &amp; Weygandt, J. J. (2020). Introduction. In D. E. Kieso, J. J. Weygandt, &amp; T. D. Warfield (Eds.), Intermediate accounting (17th ed., pp. 1–25). Wiley.</w:t>
      </w:r>
    </w:p>
    <w:p w:rsidR="00000000" w:rsidDel="00000000" w:rsidP="00000000" w:rsidRDefault="00000000" w:rsidRPr="00000000" w14:paraId="00000064">
      <w:pPr>
        <w:spacing w:before="3" w:lineRule="auto"/>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5">
      <w:pPr>
        <w:ind w:left="284" w:right="3" w:hanging="284"/>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Reference List: Articles in Periodicals</w:t>
      </w:r>
    </w:p>
    <w:p w:rsidR="00000000" w:rsidDel="00000000" w:rsidP="00000000" w:rsidRDefault="00000000" w:rsidRPr="00000000" w14:paraId="00000066">
      <w:pPr>
        <w:ind w:left="284" w:right="3" w:hanging="284"/>
        <w:jc w:val="center"/>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67">
      <w:pPr>
        <w:ind w:left="284" w:right="3" w:hanging="284"/>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Article in Journal Paginated by Volume</w:t>
      </w:r>
    </w:p>
    <w:p w:rsidR="00000000" w:rsidDel="00000000" w:rsidP="00000000" w:rsidRDefault="00000000" w:rsidRPr="00000000" w14:paraId="00000068">
      <w:pPr>
        <w:spacing w:line="275" w:lineRule="auto"/>
        <w:ind w:left="284" w:right="3" w:hanging="284"/>
        <w:rPr>
          <w:rFonts w:ascii="Arial" w:cs="Arial" w:eastAsia="Arial" w:hAnsi="Arial"/>
          <w:sz w:val="24"/>
          <w:szCs w:val="24"/>
        </w:rPr>
      </w:pPr>
      <w:r w:rsidDel="00000000" w:rsidR="00000000" w:rsidRPr="00000000">
        <w:rPr>
          <w:rFonts w:ascii="Arial" w:cs="Arial" w:eastAsia="Arial" w:hAnsi="Arial"/>
          <w:sz w:val="24"/>
          <w:szCs w:val="24"/>
          <w:rtl w:val="0"/>
        </w:rPr>
        <w:t xml:space="preserve">Ball, R., &amp; Brown, P. (1968). An empirical evaluation of accounting income numbers. Journal of Accounting Research, 6, 159–178.</w:t>
      </w:r>
    </w:p>
    <w:p w:rsidR="00000000" w:rsidDel="00000000" w:rsidP="00000000" w:rsidRDefault="00000000" w:rsidRPr="00000000" w14:paraId="00000069">
      <w:pPr>
        <w:spacing w:before="2" w:lineRule="auto"/>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A">
      <w:pPr>
        <w:spacing w:line="275" w:lineRule="auto"/>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Article in Journal Paginated by Issue</w:t>
      </w:r>
    </w:p>
    <w:p w:rsidR="00000000" w:rsidDel="00000000" w:rsidP="00000000" w:rsidRDefault="00000000" w:rsidRPr="00000000" w14:paraId="0000006B">
      <w:pPr>
        <w:spacing w:line="275" w:lineRule="auto"/>
        <w:ind w:left="284" w:right="3" w:hanging="284"/>
        <w:rPr>
          <w:rFonts w:ascii="Arial" w:cs="Arial" w:eastAsia="Arial" w:hAnsi="Arial"/>
          <w:sz w:val="24"/>
          <w:szCs w:val="24"/>
        </w:rPr>
      </w:pPr>
      <w:r w:rsidDel="00000000" w:rsidR="00000000" w:rsidRPr="00000000">
        <w:rPr>
          <w:rFonts w:ascii="Arial" w:cs="Arial" w:eastAsia="Arial" w:hAnsi="Arial"/>
          <w:sz w:val="24"/>
          <w:szCs w:val="24"/>
          <w:rtl w:val="0"/>
        </w:rPr>
        <w:t xml:space="preserve">Jensen, M. C. (2001). Value maximization and the corporate objective function. Journal of Applied Corporate Finance, 14(3), 8–21.</w:t>
      </w:r>
    </w:p>
    <w:p w:rsidR="00000000" w:rsidDel="00000000" w:rsidP="00000000" w:rsidRDefault="00000000" w:rsidRPr="00000000" w14:paraId="0000006C">
      <w:pPr>
        <w:spacing w:before="2" w:lineRule="auto"/>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D">
      <w:pPr>
        <w:spacing w:before="1" w:lineRule="auto"/>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Article in a Magazine</w:t>
      </w:r>
    </w:p>
    <w:p w:rsidR="00000000" w:rsidDel="00000000" w:rsidP="00000000" w:rsidRDefault="00000000" w:rsidRPr="00000000" w14:paraId="0000006E">
      <w:pPr>
        <w:spacing w:line="242" w:lineRule="auto"/>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Byrnes, N. (2002, July 22). The new transparency in corporate reporting. BusinessWeek, 3790, 45–48.</w:t>
      </w:r>
    </w:p>
    <w:p w:rsidR="00000000" w:rsidDel="00000000" w:rsidP="00000000" w:rsidRDefault="00000000" w:rsidRPr="00000000" w14:paraId="0000006F">
      <w:pPr>
        <w:spacing w:before="8" w:lineRule="auto"/>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0">
      <w:pPr>
        <w:spacing w:before="1" w:lineRule="auto"/>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Article in a Newspaper</w:t>
      </w:r>
    </w:p>
    <w:p w:rsidR="00000000" w:rsidDel="00000000" w:rsidP="00000000" w:rsidRDefault="00000000" w:rsidRPr="00000000" w14:paraId="00000071">
      <w:pPr>
        <w:spacing w:line="275" w:lineRule="auto"/>
        <w:ind w:left="284" w:right="3" w:hanging="284"/>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Sorkin, A. R. (2020, March 15). Corporate accounting faces scrutiny amid crisis. The New York Times, B1–B2.</w:t>
      </w:r>
      <w:r w:rsidDel="00000000" w:rsidR="00000000" w:rsidRPr="00000000">
        <w:rPr>
          <w:rtl w:val="0"/>
        </w:rPr>
      </w:r>
    </w:p>
    <w:p w:rsidR="00000000" w:rsidDel="00000000" w:rsidP="00000000" w:rsidRDefault="00000000" w:rsidRPr="00000000" w14:paraId="00000072">
      <w:pPr>
        <w:spacing w:line="275" w:lineRule="auto"/>
        <w:ind w:left="284" w:right="3" w:hanging="284"/>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73">
      <w:pPr>
        <w:spacing w:line="275" w:lineRule="auto"/>
        <w:ind w:left="284" w:right="3" w:hanging="284"/>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Reference List: Books</w:t>
      </w:r>
      <w:r w:rsidDel="00000000" w:rsidR="00000000" w:rsidRPr="00000000">
        <w:rPr>
          <w:rtl w:val="0"/>
        </w:rPr>
      </w:r>
    </w:p>
    <w:p w:rsidR="00000000" w:rsidDel="00000000" w:rsidP="00000000" w:rsidRDefault="00000000" w:rsidRPr="00000000" w14:paraId="00000074">
      <w:pPr>
        <w:ind w:left="284" w:right="3" w:hanging="284"/>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75">
      <w:pPr>
        <w:spacing w:line="275" w:lineRule="auto"/>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Edited Book, No Author</w:t>
      </w:r>
    </w:p>
    <w:p w:rsidR="00000000" w:rsidDel="00000000" w:rsidP="00000000" w:rsidRDefault="00000000" w:rsidRPr="00000000" w14:paraId="00000076">
      <w:pPr>
        <w:ind w:left="284" w:right="3" w:hanging="284"/>
        <w:rPr>
          <w:rFonts w:ascii="Arial" w:cs="Arial" w:eastAsia="Arial" w:hAnsi="Arial"/>
          <w:sz w:val="24"/>
          <w:szCs w:val="24"/>
        </w:rPr>
      </w:pPr>
      <w:r w:rsidDel="00000000" w:rsidR="00000000" w:rsidRPr="00000000">
        <w:rPr>
          <w:rFonts w:ascii="Arial" w:cs="Arial" w:eastAsia="Arial" w:hAnsi="Arial"/>
          <w:sz w:val="24"/>
          <w:szCs w:val="24"/>
          <w:rtl w:val="0"/>
        </w:rPr>
        <w:t xml:space="preserve">Graham, J. R., &amp; Harvey, C. R. (Eds.). (2001). Corporate financial reporting practices. Elsevier.</w:t>
      </w:r>
    </w:p>
    <w:p w:rsidR="00000000" w:rsidDel="00000000" w:rsidP="00000000" w:rsidRDefault="00000000" w:rsidRPr="00000000" w14:paraId="00000077">
      <w:pPr>
        <w:spacing w:before="1" w:lineRule="auto"/>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8">
      <w:pPr>
        <w:spacing w:line="275" w:lineRule="auto"/>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Edited Book with an Author or Authors</w:t>
      </w:r>
    </w:p>
    <w:p w:rsidR="00000000" w:rsidDel="00000000" w:rsidP="00000000" w:rsidRDefault="00000000" w:rsidRPr="00000000" w14:paraId="00000079">
      <w:pPr>
        <w:ind w:left="284" w:right="3" w:hanging="284"/>
        <w:rPr>
          <w:rFonts w:ascii="Arial" w:cs="Arial" w:eastAsia="Arial" w:hAnsi="Arial"/>
          <w:sz w:val="24"/>
          <w:szCs w:val="24"/>
        </w:rPr>
      </w:pPr>
      <w:r w:rsidDel="00000000" w:rsidR="00000000" w:rsidRPr="00000000">
        <w:rPr>
          <w:rFonts w:ascii="Arial" w:cs="Arial" w:eastAsia="Arial" w:hAnsi="Arial"/>
          <w:sz w:val="24"/>
          <w:szCs w:val="24"/>
          <w:rtl w:val="0"/>
        </w:rPr>
        <w:t xml:space="preserve">Brigham, E. F. (2019). Financial management: Theory and practice (15th ed.). Cengage Learning.</w:t>
      </w:r>
    </w:p>
    <w:p w:rsidR="00000000" w:rsidDel="00000000" w:rsidP="00000000" w:rsidRDefault="00000000" w:rsidRPr="00000000" w14:paraId="0000007A">
      <w:pPr>
        <w:spacing w:before="11" w:lineRule="auto"/>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B">
      <w:pPr>
        <w:spacing w:line="275" w:lineRule="auto"/>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 Translation</w:t>
      </w:r>
    </w:p>
    <w:p w:rsidR="00000000" w:rsidDel="00000000" w:rsidP="00000000" w:rsidRDefault="00000000" w:rsidRPr="00000000" w14:paraId="0000007C">
      <w:pPr>
        <w:spacing w:before="3" w:lineRule="auto"/>
        <w:ind w:left="284" w:right="3" w:hanging="284"/>
        <w:rPr>
          <w:rFonts w:ascii="Arial" w:cs="Arial" w:eastAsia="Arial" w:hAnsi="Arial"/>
          <w:sz w:val="24"/>
          <w:szCs w:val="24"/>
        </w:rPr>
      </w:pPr>
      <w:r w:rsidDel="00000000" w:rsidR="00000000" w:rsidRPr="00000000">
        <w:rPr>
          <w:rFonts w:ascii="Arial" w:cs="Arial" w:eastAsia="Arial" w:hAnsi="Arial"/>
          <w:sz w:val="24"/>
          <w:szCs w:val="24"/>
          <w:rtl w:val="0"/>
        </w:rPr>
        <w:t xml:space="preserve">Pacioli, L. (1994). Summa de arithmetica (A. Clarke, Trans.). Oxford University Press. (Original work published 1494)</w:t>
      </w:r>
    </w:p>
    <w:p w:rsidR="00000000" w:rsidDel="00000000" w:rsidP="00000000" w:rsidRDefault="00000000" w:rsidRPr="00000000" w14:paraId="0000007D">
      <w:pPr>
        <w:spacing w:before="11" w:lineRule="auto"/>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E">
      <w:pPr>
        <w:spacing w:line="275" w:lineRule="auto"/>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Edition Other Than the First</w:t>
      </w:r>
    </w:p>
    <w:p w:rsidR="00000000" w:rsidDel="00000000" w:rsidP="00000000" w:rsidRDefault="00000000" w:rsidRPr="00000000" w14:paraId="0000007F">
      <w:pPr>
        <w:spacing w:before="3" w:lineRule="auto"/>
        <w:ind w:left="284" w:right="3" w:hanging="284"/>
        <w:rPr>
          <w:rFonts w:ascii="Arial" w:cs="Arial" w:eastAsia="Arial" w:hAnsi="Arial"/>
          <w:sz w:val="24"/>
          <w:szCs w:val="24"/>
        </w:rPr>
      </w:pPr>
      <w:r w:rsidDel="00000000" w:rsidR="00000000" w:rsidRPr="00000000">
        <w:rPr>
          <w:rFonts w:ascii="Arial" w:cs="Arial" w:eastAsia="Arial" w:hAnsi="Arial"/>
          <w:sz w:val="24"/>
          <w:szCs w:val="24"/>
          <w:rtl w:val="0"/>
        </w:rPr>
        <w:t xml:space="preserve">Harrison, W. T., Horngren, C. T., &amp; Thomas, C. W. (2018). Financial accounting (11th ed.). Pearson.</w:t>
      </w:r>
    </w:p>
    <w:p w:rsidR="00000000" w:rsidDel="00000000" w:rsidP="00000000" w:rsidRDefault="00000000" w:rsidRPr="00000000" w14:paraId="00000080">
      <w:pPr>
        <w:spacing w:before="11" w:lineRule="auto"/>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1">
      <w:pPr>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Article or Chapter in an Edited Book</w:t>
      </w:r>
    </w:p>
    <w:p w:rsidR="00000000" w:rsidDel="00000000" w:rsidP="00000000" w:rsidRDefault="00000000" w:rsidRPr="00000000" w14:paraId="00000082">
      <w:pPr>
        <w:spacing w:before="1" w:lineRule="auto"/>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Healy, P. M., &amp; Palepu, K. G. (2001). Information asymmetry, corporate disclosure, and capital markets. In J. Hand &amp; B. Lev (Eds.), Intangible assets (pp. 33–60). Oxford University Press.</w:t>
      </w:r>
    </w:p>
    <w:p w:rsidR="00000000" w:rsidDel="00000000" w:rsidP="00000000" w:rsidRDefault="00000000" w:rsidRPr="00000000" w14:paraId="00000083">
      <w:pPr>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4">
      <w:pPr>
        <w:spacing w:before="54" w:line="552" w:lineRule="auto"/>
        <w:ind w:left="284" w:right="3" w:hanging="284"/>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Reference List: Other Print Sources  </w:t>
      </w:r>
    </w:p>
    <w:p w:rsidR="00000000" w:rsidDel="00000000" w:rsidP="00000000" w:rsidRDefault="00000000" w:rsidRPr="00000000" w14:paraId="00000085">
      <w:pPr>
        <w:spacing w:line="552" w:lineRule="auto"/>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Entry in an Encyclopedia</w:t>
      </w:r>
    </w:p>
    <w:p w:rsidR="00000000" w:rsidDel="00000000" w:rsidP="00000000" w:rsidRDefault="00000000" w:rsidRPr="00000000" w14:paraId="00000086">
      <w:pPr>
        <w:spacing w:before="3" w:lineRule="auto"/>
        <w:ind w:left="284" w:right="3" w:hanging="284"/>
        <w:rPr>
          <w:rFonts w:ascii="Arial" w:cs="Arial" w:eastAsia="Arial" w:hAnsi="Arial"/>
          <w:sz w:val="24"/>
          <w:szCs w:val="24"/>
        </w:rPr>
      </w:pPr>
      <w:r w:rsidDel="00000000" w:rsidR="00000000" w:rsidRPr="00000000">
        <w:rPr>
          <w:rFonts w:ascii="Arial" w:cs="Arial" w:eastAsia="Arial" w:hAnsi="Arial"/>
          <w:sz w:val="24"/>
          <w:szCs w:val="24"/>
          <w:rtl w:val="0"/>
        </w:rPr>
        <w:t xml:space="preserve">Bromwich, M. (2015). Management accounting. In C. Cooper (Ed.), Wiley encyclopedia of management (3rd ed., pp. 1–5). Wiley.</w:t>
      </w:r>
    </w:p>
    <w:p w:rsidR="00000000" w:rsidDel="00000000" w:rsidP="00000000" w:rsidRDefault="00000000" w:rsidRPr="00000000" w14:paraId="00000087">
      <w:pPr>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8">
      <w:pPr>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Dissertation Abstract</w:t>
      </w:r>
    </w:p>
    <w:p w:rsidR="00000000" w:rsidDel="00000000" w:rsidP="00000000" w:rsidRDefault="00000000" w:rsidRPr="00000000" w14:paraId="00000089">
      <w:pPr>
        <w:spacing w:before="2" w:line="237" w:lineRule="auto"/>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Sari, D. P. (2021). Corporate governance and earnings quality in ASEAN countries (Doctoral dissertation, Universitas Indonesia). Dissertation Abstracts International, 82, 1123A.</w:t>
      </w:r>
    </w:p>
    <w:p w:rsidR="00000000" w:rsidDel="00000000" w:rsidP="00000000" w:rsidRDefault="00000000" w:rsidRPr="00000000" w14:paraId="0000008A">
      <w:pPr>
        <w:spacing w:before="3" w:lineRule="auto"/>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B">
      <w:pPr>
        <w:spacing w:before="1" w:line="275" w:lineRule="auto"/>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Government Document</w:t>
      </w:r>
    </w:p>
    <w:p w:rsidR="00000000" w:rsidDel="00000000" w:rsidP="00000000" w:rsidRDefault="00000000" w:rsidRPr="00000000" w14:paraId="0000008C">
      <w:pPr>
        <w:spacing w:line="242" w:lineRule="auto"/>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Kementerian Keuangan Republik Indonesia. (2022). Laporan keuangan pemerintah pusat tahun 2021. Kementerian Keuangan RI.</w:t>
      </w:r>
    </w:p>
    <w:p w:rsidR="00000000" w:rsidDel="00000000" w:rsidP="00000000" w:rsidRDefault="00000000" w:rsidRPr="00000000" w14:paraId="0000008D">
      <w:pPr>
        <w:spacing w:before="4" w:lineRule="auto"/>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E">
      <w:pPr>
        <w:spacing w:before="1" w:line="275" w:lineRule="auto"/>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Report from a Private Organization</w:t>
      </w:r>
    </w:p>
    <w:p w:rsidR="00000000" w:rsidDel="00000000" w:rsidP="00000000" w:rsidRDefault="00000000" w:rsidRPr="00000000" w14:paraId="0000008F">
      <w:pPr>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Ikatan Akuntan Indonesia. (2022). Standar akuntansi keuangan efektif 2022. IAI.</w:t>
      </w:r>
    </w:p>
    <w:p w:rsidR="00000000" w:rsidDel="00000000" w:rsidP="00000000" w:rsidRDefault="00000000" w:rsidRPr="00000000" w14:paraId="00000090">
      <w:pPr>
        <w:ind w:left="284" w:right="3" w:hanging="284"/>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1">
      <w:pPr>
        <w:spacing w:line="275" w:lineRule="auto"/>
        <w:ind w:right="3"/>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Conference Proceedings</w:t>
      </w:r>
    </w:p>
    <w:p w:rsidR="00000000" w:rsidDel="00000000" w:rsidP="00000000" w:rsidRDefault="00000000" w:rsidRPr="00000000" w14:paraId="00000092">
      <w:pPr>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Siregar, S. V., &amp; Utama, S. (Eds.). (2023). Proceedings of the International Conference on Accounting, Governance, and Sustainability (ICAGS 2023). Atlantis Press.</w:t>
      </w:r>
    </w:p>
    <w:p w:rsidR="00000000" w:rsidDel="00000000" w:rsidP="00000000" w:rsidRDefault="00000000" w:rsidRPr="00000000" w14:paraId="00000093">
      <w:pPr>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Hapsoro, D., &amp; Rahman, A. (Eds.). (2022). Proceedings of the International Conference on Economics, Business, and Accounting Research (ICEBAR 2022). Springer. https://doi.org/10.1007/978-3-031-12345-6</w:t>
      </w:r>
    </w:p>
    <w:p w:rsidR="00000000" w:rsidDel="00000000" w:rsidP="00000000" w:rsidRDefault="00000000" w:rsidRPr="00000000" w14:paraId="00000094">
      <w:pPr>
        <w:spacing w:before="3" w:lineRule="auto"/>
        <w:ind w:left="284" w:right="3" w:hanging="284"/>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Reference List: Electronic Sources (Web Publications) </w:t>
      </w:r>
    </w:p>
    <w:p w:rsidR="00000000" w:rsidDel="00000000" w:rsidP="00000000" w:rsidRDefault="00000000" w:rsidRPr="00000000" w14:paraId="00000095">
      <w:pPr>
        <w:spacing w:before="3" w:lineRule="auto"/>
        <w:ind w:left="284" w:right="3" w:hanging="284"/>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Article From an Online Periodical with DOI Assigned</w:t>
      </w:r>
    </w:p>
    <w:p w:rsidR="00000000" w:rsidDel="00000000" w:rsidP="00000000" w:rsidRDefault="00000000" w:rsidRPr="00000000" w14:paraId="00000096">
      <w:pPr>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Francis, J., LaFond, R., Olsson, P., &amp; Schipper, K. (2004). Costs of equity and earnings attributes. The Accounting Review, 79(4), 967–1010. https://doi.org/10.2308/accr.2004.79.4.967</w:t>
      </w:r>
    </w:p>
    <w:p w:rsidR="00000000" w:rsidDel="00000000" w:rsidP="00000000" w:rsidRDefault="00000000" w:rsidRPr="00000000" w14:paraId="00000097">
      <w:pPr>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8">
      <w:pPr>
        <w:spacing w:line="275" w:lineRule="auto"/>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Article From an Online Periodical with no DOI Assigned</w:t>
      </w:r>
    </w:p>
    <w:p w:rsidR="00000000" w:rsidDel="00000000" w:rsidP="00000000" w:rsidRDefault="00000000" w:rsidRPr="00000000" w14:paraId="00000099">
      <w:pPr>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Sari, D. P. (2020). The effect of audit committee effectiveness on earnings management. Jurnal Akuntansi Multiparadigma, 11(2), 215–230. https://jam.ub.ac.id/index.php/jam/article/view/2020</w:t>
      </w:r>
    </w:p>
    <w:p w:rsidR="00000000" w:rsidDel="00000000" w:rsidP="00000000" w:rsidRDefault="00000000" w:rsidRPr="00000000" w14:paraId="0000009A">
      <w:pPr>
        <w:ind w:left="284" w:right="3" w:hanging="284"/>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B">
      <w:pPr>
        <w:ind w:left="284" w:right="3" w:hanging="284"/>
        <w:jc w:val="both"/>
        <w:rPr>
          <w:rFonts w:ascii="Arial" w:cs="Arial" w:eastAsia="Arial" w:hAnsi="Arial"/>
          <w:i w:val="1"/>
          <w:iCs w:val="1"/>
          <w:sz w:val="24"/>
          <w:szCs w:val="24"/>
        </w:rPr>
      </w:pPr>
      <w:r w:rsidDel="00000000" w:rsidR="00000000" w:rsidRPr="00000000">
        <w:rPr>
          <w:rFonts w:ascii="Arial" w:cs="Arial" w:eastAsia="Arial" w:hAnsi="Arial"/>
          <w:sz w:val="24"/>
          <w:szCs w:val="24"/>
          <w:rtl w:val="0"/>
        </w:rPr>
        <w:t xml:space="preserve">Wijayanti, R. (2019). Corporate governance and financial distress prediction. Jurnal Keuangan dan Perbankan, 23(3), 345–357. https://jurnal.unmer.ac.id/index.php/jkdp</w:t>
      </w:r>
      <w:r w:rsidDel="00000000" w:rsidR="00000000" w:rsidRPr="00000000">
        <w:rPr>
          <w:rtl w:val="0"/>
        </w:rPr>
      </w:r>
    </w:p>
    <w:p w:rsidR="00000000" w:rsidDel="00000000" w:rsidP="00000000" w:rsidRDefault="00000000" w:rsidRPr="00000000" w14:paraId="0000009C">
      <w:pPr>
        <w:spacing w:before="1" w:lineRule="auto"/>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D">
      <w:pPr>
        <w:spacing w:before="1" w:lineRule="auto"/>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Abstract</w:t>
      </w:r>
    </w:p>
    <w:p w:rsidR="00000000" w:rsidDel="00000000" w:rsidP="00000000" w:rsidRDefault="00000000" w:rsidRPr="00000000" w14:paraId="0000009E">
      <w:pPr>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Pratama, A. (2022). The impact of ESG disclosure on firm value in ASEAN countries [Abstract]. Asian Journal of Accounting Research, 7(1), 88–89.</w:t>
      </w:r>
    </w:p>
    <w:p w:rsidR="00000000" w:rsidDel="00000000" w:rsidP="00000000" w:rsidRDefault="00000000" w:rsidRPr="00000000" w14:paraId="0000009F">
      <w:pPr>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0">
      <w:pPr>
        <w:spacing w:line="275" w:lineRule="auto"/>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Newspaper Article</w:t>
      </w:r>
    </w:p>
    <w:p w:rsidR="00000000" w:rsidDel="00000000" w:rsidP="00000000" w:rsidRDefault="00000000" w:rsidRPr="00000000" w14:paraId="000000A1">
      <w:pPr>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Sorkin, A. R. (2023, March 15). Regulators increase scrutiny on corporate financial reporting. The New York Times. https://www.nytimes.com</w:t>
      </w:r>
    </w:p>
    <w:p w:rsidR="00000000" w:rsidDel="00000000" w:rsidP="00000000" w:rsidRDefault="00000000" w:rsidRPr="00000000" w14:paraId="000000A2">
      <w:pPr>
        <w:spacing w:before="6" w:lineRule="auto"/>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3">
      <w:pPr>
        <w:spacing w:line="275" w:lineRule="auto"/>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Electronic Books</w:t>
      </w:r>
    </w:p>
    <w:p w:rsidR="00000000" w:rsidDel="00000000" w:rsidP="00000000" w:rsidRDefault="00000000" w:rsidRPr="00000000" w14:paraId="000000A4">
      <w:pPr>
        <w:spacing w:line="242" w:lineRule="auto"/>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Atrill, P., &amp; McLaney, E. (2020). Management accounting for decision makers (9th ed.). Pearson. https://www.pearson.com</w:t>
      </w:r>
    </w:p>
    <w:p w:rsidR="00000000" w:rsidDel="00000000" w:rsidP="00000000" w:rsidRDefault="00000000" w:rsidRPr="00000000" w14:paraId="000000A5">
      <w:pPr>
        <w:spacing w:line="242" w:lineRule="auto"/>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Harrison, W. T., Horngren, C. T., &amp; Thomas, C. W. (2018). Financial accounting (11th ed.). Pearson. https://www.pearson.com</w:t>
      </w:r>
    </w:p>
    <w:p w:rsidR="00000000" w:rsidDel="00000000" w:rsidP="00000000" w:rsidRDefault="00000000" w:rsidRPr="00000000" w14:paraId="000000A6">
      <w:pPr>
        <w:spacing w:before="2" w:lineRule="auto"/>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7">
      <w:pPr>
        <w:spacing w:line="275" w:lineRule="auto"/>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Chapter in Online Book</w:t>
      </w:r>
    </w:p>
    <w:p w:rsidR="00000000" w:rsidDel="00000000" w:rsidP="00000000" w:rsidRDefault="00000000" w:rsidRPr="00000000" w14:paraId="000000A8">
      <w:pPr>
        <w:spacing w:before="2" w:line="237" w:lineRule="auto"/>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Healy, P. M., &amp; Palepu, K. G. (2001). Information asymmetry, corporate disclosure, and capital markets. In J. Hand &amp; B. Lev (Eds.), Intangible assets (pp. 33–60). Oxford University Press. https://doi.org/10.1093/019511099X.003.0002</w:t>
      </w:r>
    </w:p>
    <w:p w:rsidR="00000000" w:rsidDel="00000000" w:rsidP="00000000" w:rsidRDefault="00000000" w:rsidRPr="00000000" w14:paraId="000000A9">
      <w:pPr>
        <w:spacing w:before="4" w:lineRule="auto"/>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A">
      <w:pPr>
        <w:spacing w:line="275" w:lineRule="auto"/>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Online Book Reviews</w:t>
      </w:r>
    </w:p>
    <w:p w:rsidR="00000000" w:rsidDel="00000000" w:rsidP="00000000" w:rsidRDefault="00000000" w:rsidRPr="00000000" w14:paraId="000000AB">
      <w:pPr>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Zeff, S. A. (2021, April 10). Rethinking financial reporting standards [Review of the book The future of financial accounting]. Accounting Today. https://www.accountingtoday.com</w:t>
      </w:r>
    </w:p>
    <w:p w:rsidR="00000000" w:rsidDel="00000000" w:rsidP="00000000" w:rsidRDefault="00000000" w:rsidRPr="00000000" w14:paraId="000000AC">
      <w:pPr>
        <w:spacing w:before="11" w:lineRule="auto"/>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D">
      <w:pPr>
        <w:spacing w:line="275" w:lineRule="auto"/>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Dissertation/Thesis from a Database</w:t>
      </w:r>
    </w:p>
    <w:p w:rsidR="00000000" w:rsidDel="00000000" w:rsidP="00000000" w:rsidRDefault="00000000" w:rsidRPr="00000000" w14:paraId="000000AE">
      <w:pPr>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Putri, R. D. (2021). Corporate governance and earnings quality in emerging markets (Doctoral dissertation). ProQuest Dissertations Publishing. (UMI No. 1234567)</w:t>
      </w:r>
    </w:p>
    <w:p w:rsidR="00000000" w:rsidDel="00000000" w:rsidP="00000000" w:rsidRDefault="00000000" w:rsidRPr="00000000" w14:paraId="000000AF">
      <w:pPr>
        <w:spacing w:before="1" w:lineRule="auto"/>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0">
      <w:pPr>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Online Encyclopedias and Dictionaries</w:t>
      </w:r>
    </w:p>
    <w:p w:rsidR="00000000" w:rsidDel="00000000" w:rsidP="00000000" w:rsidRDefault="00000000" w:rsidRPr="00000000" w14:paraId="000000B1">
      <w:pPr>
        <w:spacing w:line="242" w:lineRule="auto"/>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Accounting conservatism. (n.d.). In Encyclopædia Britannica Online. https://www.britannica.com</w:t>
      </w:r>
    </w:p>
    <w:p w:rsidR="00000000" w:rsidDel="00000000" w:rsidP="00000000" w:rsidRDefault="00000000" w:rsidRPr="00000000" w14:paraId="000000B2">
      <w:pPr>
        <w:spacing w:before="9" w:lineRule="auto"/>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3">
      <w:pPr>
        <w:spacing w:before="1" w:line="275" w:lineRule="auto"/>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Online Bibliographies and Annotated Bibliographies</w:t>
      </w:r>
    </w:p>
    <w:p w:rsidR="00000000" w:rsidDel="00000000" w:rsidP="00000000" w:rsidRDefault="00000000" w:rsidRPr="00000000" w14:paraId="000000B4">
      <w:pPr>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International Federation of Accountants. (2022). Sustainability reporting: Annotated bibliography. https://www.ifac.org</w:t>
      </w:r>
    </w:p>
    <w:p w:rsidR="00000000" w:rsidDel="00000000" w:rsidP="00000000" w:rsidRDefault="00000000" w:rsidRPr="00000000" w14:paraId="000000B5">
      <w:pPr>
        <w:spacing w:before="1" w:lineRule="auto"/>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6">
      <w:pPr>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Data Sets</w:t>
      </w:r>
    </w:p>
    <w:p w:rsidR="00000000" w:rsidDel="00000000" w:rsidP="00000000" w:rsidRDefault="00000000" w:rsidRPr="00000000" w14:paraId="000000B7">
      <w:pPr>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World Bank. (2023). World development indicators [Data set]. https://data.worldbank.org</w:t>
      </w:r>
    </w:p>
    <w:p w:rsidR="00000000" w:rsidDel="00000000" w:rsidP="00000000" w:rsidRDefault="00000000" w:rsidRPr="00000000" w14:paraId="000000B8">
      <w:pPr>
        <w:spacing w:before="9" w:lineRule="auto"/>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9">
      <w:pPr>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Graphic Data</w:t>
      </w:r>
    </w:p>
    <w:p w:rsidR="00000000" w:rsidDel="00000000" w:rsidP="00000000" w:rsidRDefault="00000000" w:rsidRPr="00000000" w14:paraId="000000BA">
      <w:pPr>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International Monetary Fund. (2023). Global financial stability indicators [Data visualization]. https://www.imf.org</w:t>
      </w:r>
    </w:p>
    <w:p w:rsidR="00000000" w:rsidDel="00000000" w:rsidP="00000000" w:rsidRDefault="00000000" w:rsidRPr="00000000" w14:paraId="000000BB">
      <w:pPr>
        <w:spacing w:before="1" w:lineRule="auto"/>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C">
      <w:pPr>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Online Interviews</w:t>
      </w:r>
    </w:p>
    <w:p w:rsidR="00000000" w:rsidDel="00000000" w:rsidP="00000000" w:rsidRDefault="00000000" w:rsidRPr="00000000" w14:paraId="000000BD">
      <w:pPr>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Butler, C. (Interviewer) &amp; Siregar, S. V. (Interviewee). (2022). The future of ESG reporting in Indonesia [Interview transcript]. https://www.accountingconference.org/interviews</w:t>
      </w:r>
    </w:p>
    <w:p w:rsidR="00000000" w:rsidDel="00000000" w:rsidP="00000000" w:rsidRDefault="00000000" w:rsidRPr="00000000" w14:paraId="000000BE">
      <w:pPr>
        <w:spacing w:before="2" w:lineRule="auto"/>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F">
      <w:pPr>
        <w:spacing w:before="1" w:line="275" w:lineRule="auto"/>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Online Lecture Notes/Slides</w:t>
      </w:r>
    </w:p>
    <w:p w:rsidR="00000000" w:rsidDel="00000000" w:rsidP="00000000" w:rsidRDefault="00000000" w:rsidRPr="00000000" w14:paraId="000000C0">
      <w:pPr>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Hapsoro, D. (2023). Earnings management and audit quality [PowerPoint slides]. https://www.university.ac.id/akuntansi</w:t>
      </w:r>
    </w:p>
    <w:p w:rsidR="00000000" w:rsidDel="00000000" w:rsidP="00000000" w:rsidRDefault="00000000" w:rsidRPr="00000000" w14:paraId="000000C1">
      <w:pPr>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2">
      <w:pPr>
        <w:spacing w:line="275" w:lineRule="auto"/>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Nonperiodical Web Document / Report</w:t>
      </w:r>
    </w:p>
    <w:p w:rsidR="00000000" w:rsidDel="00000000" w:rsidP="00000000" w:rsidRDefault="00000000" w:rsidRPr="00000000" w14:paraId="000000C3">
      <w:pPr>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International Federation of Accountants. (2023). Global accountancy profession report 2023. https://www.ifac.org</w:t>
      </w:r>
    </w:p>
    <w:p w:rsidR="00000000" w:rsidDel="00000000" w:rsidP="00000000" w:rsidRDefault="00000000" w:rsidRPr="00000000" w14:paraId="000000C4">
      <w:pPr>
        <w:spacing w:before="8" w:lineRule="auto"/>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5">
      <w:pPr>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Computer Software</w:t>
      </w:r>
    </w:p>
    <w:p w:rsidR="00000000" w:rsidDel="00000000" w:rsidP="00000000" w:rsidRDefault="00000000" w:rsidRPr="00000000" w14:paraId="000000C6">
      <w:pPr>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StataCorp. (2022). Stata statistical software: Release 17 [Computer software]. StataCorp LLC.</w:t>
      </w:r>
    </w:p>
    <w:p w:rsidR="00000000" w:rsidDel="00000000" w:rsidP="00000000" w:rsidRDefault="00000000" w:rsidRPr="00000000" w14:paraId="000000C7">
      <w:pPr>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IBM Corp. (2021). IBM SPSS statistics for Windows (Version 27) [Computer software]. IBM Corp.</w:t>
      </w:r>
    </w:p>
    <w:p w:rsidR="00000000" w:rsidDel="00000000" w:rsidP="00000000" w:rsidRDefault="00000000" w:rsidRPr="00000000" w14:paraId="000000C8">
      <w:pPr>
        <w:ind w:left="284" w:right="3" w:hanging="284"/>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C9">
      <w:pPr>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E-mail</w:t>
      </w:r>
    </w:p>
    <w:p w:rsidR="00000000" w:rsidDel="00000000" w:rsidP="00000000" w:rsidRDefault="00000000" w:rsidRPr="00000000" w14:paraId="000000CA">
      <w:pPr>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E-mails are not included in the list of references, though you parenthetically cite them in your main text: (E. Robbins, personal communication, January 4, 2001).</w:t>
      </w:r>
    </w:p>
    <w:p w:rsidR="00000000" w:rsidDel="00000000" w:rsidP="00000000" w:rsidRDefault="00000000" w:rsidRPr="00000000" w14:paraId="000000CB">
      <w:pPr>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C">
      <w:pPr>
        <w:spacing w:before="1" w:lineRule="auto"/>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Online Forum Posting</w:t>
      </w:r>
    </w:p>
    <w:p w:rsidR="00000000" w:rsidDel="00000000" w:rsidP="00000000" w:rsidRDefault="00000000" w:rsidRPr="00000000" w14:paraId="000000CD">
      <w:pPr>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AkuntanPublik. (2023, July 10). Challenges in implementing PSAK 71 [Online forum post]. https://www.akuntansiforum.com</w:t>
      </w:r>
    </w:p>
    <w:p w:rsidR="00000000" w:rsidDel="00000000" w:rsidP="00000000" w:rsidRDefault="00000000" w:rsidRPr="00000000" w14:paraId="000000CE">
      <w:pPr>
        <w:spacing w:before="11" w:lineRule="auto"/>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F">
      <w:pPr>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Blog Post</w:t>
      </w:r>
    </w:p>
    <w:p w:rsidR="00000000" w:rsidDel="00000000" w:rsidP="00000000" w:rsidRDefault="00000000" w:rsidRPr="00000000" w14:paraId="000000D0">
      <w:pPr>
        <w:ind w:left="284" w:right="3" w:hanging="284"/>
        <w:rPr>
          <w:rFonts w:ascii="Arial" w:cs="Arial" w:eastAsia="Arial" w:hAnsi="Arial"/>
          <w:sz w:val="24"/>
          <w:szCs w:val="24"/>
        </w:rPr>
      </w:pPr>
      <w:r w:rsidDel="00000000" w:rsidR="00000000" w:rsidRPr="00000000">
        <w:rPr>
          <w:rFonts w:ascii="Arial" w:cs="Arial" w:eastAsia="Arial" w:hAnsi="Arial"/>
          <w:sz w:val="24"/>
          <w:szCs w:val="24"/>
          <w:rtl w:val="0"/>
        </w:rPr>
        <w:t xml:space="preserve">Deloitte Indonesia. (2023, May 2). ESG reporting trends in Southeast Asia [Blog post]. https://www2.deloitte.com</w:t>
      </w:r>
    </w:p>
    <w:p w:rsidR="00000000" w:rsidDel="00000000" w:rsidP="00000000" w:rsidRDefault="00000000" w:rsidRPr="00000000" w14:paraId="000000D1">
      <w:pPr>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2">
      <w:pPr>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Wikipedia</w:t>
      </w:r>
    </w:p>
    <w:p w:rsidR="00000000" w:rsidDel="00000000" w:rsidP="00000000" w:rsidRDefault="00000000" w:rsidRPr="00000000" w14:paraId="000000D3">
      <w:pPr>
        <w:ind w:left="284" w:right="3" w:hanging="284"/>
        <w:rPr>
          <w:rFonts w:ascii="Arial" w:cs="Arial" w:eastAsia="Arial" w:hAnsi="Arial"/>
          <w:sz w:val="24"/>
          <w:szCs w:val="24"/>
        </w:rPr>
      </w:pPr>
      <w:r w:rsidDel="00000000" w:rsidR="00000000" w:rsidRPr="00000000">
        <w:rPr>
          <w:rFonts w:ascii="Arial" w:cs="Arial" w:eastAsia="Arial" w:hAnsi="Arial"/>
          <w:sz w:val="24"/>
          <w:szCs w:val="24"/>
          <w:rtl w:val="0"/>
        </w:rPr>
        <w:t xml:space="preserve">Sustainability accounting. (n.d.). In Wikipedia. https://en.wikipedia.org/wiki/Sustainability_accounting</w:t>
      </w:r>
    </w:p>
    <w:p w:rsidR="00000000" w:rsidDel="00000000" w:rsidP="00000000" w:rsidRDefault="00000000" w:rsidRPr="00000000" w14:paraId="000000D4">
      <w:pPr>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5">
      <w:pPr>
        <w:ind w:left="284" w:right="3" w:hanging="284"/>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Podcast</w:t>
      </w:r>
    </w:p>
    <w:p w:rsidR="00000000" w:rsidDel="00000000" w:rsidP="00000000" w:rsidRDefault="00000000" w:rsidRPr="00000000" w14:paraId="000000D6">
      <w:pPr>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International Federation of Accountants. (2023, June 5). The future of global audit standards [Audio podcast episode]. </w:t>
      </w:r>
      <w:hyperlink r:id="rId11">
        <w:r w:rsidDel="00000000" w:rsidR="00000000" w:rsidRPr="00000000">
          <w:rPr>
            <w:rFonts w:ascii="Arial" w:cs="Arial" w:eastAsia="Arial" w:hAnsi="Arial"/>
            <w:color w:val="0563c1"/>
            <w:sz w:val="24"/>
            <w:szCs w:val="24"/>
            <w:u w:val="single"/>
            <w:rtl w:val="0"/>
          </w:rPr>
          <w:t xml:space="preserve">https://www.ifac.org</w:t>
        </w:r>
      </w:hyperlink>
      <w:r w:rsidDel="00000000" w:rsidR="00000000" w:rsidRPr="00000000">
        <w:rPr>
          <w:rtl w:val="0"/>
        </w:rPr>
      </w:r>
    </w:p>
    <w:p w:rsidR="00000000" w:rsidDel="00000000" w:rsidP="00000000" w:rsidRDefault="00000000" w:rsidRPr="00000000" w14:paraId="000000D7">
      <w:pPr>
        <w:ind w:left="284" w:right="3" w:hanging="284"/>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8">
      <w:pPr>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Video Podcasts</w:t>
      </w:r>
    </w:p>
    <w:p w:rsidR="00000000" w:rsidDel="00000000" w:rsidP="00000000" w:rsidRDefault="00000000" w:rsidRPr="00000000" w14:paraId="000000D9">
      <w:pPr>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Scott, D. (Producer). (2007, January 5). The community college classroom [Episode 7]. </w:t>
      </w:r>
      <w:r w:rsidDel="00000000" w:rsidR="00000000" w:rsidRPr="00000000">
        <w:rPr>
          <w:rFonts w:ascii="Arial" w:cs="Arial" w:eastAsia="Arial" w:hAnsi="Arial"/>
          <w:i w:val="1"/>
          <w:iCs w:val="1"/>
          <w:sz w:val="24"/>
          <w:szCs w:val="24"/>
          <w:rtl w:val="0"/>
        </w:rPr>
        <w:t xml:space="preserve">Adventures in Education</w:t>
      </w:r>
      <w:r w:rsidDel="00000000" w:rsidR="00000000" w:rsidRPr="00000000">
        <w:rPr>
          <w:rFonts w:ascii="Arial" w:cs="Arial" w:eastAsia="Arial" w:hAnsi="Arial"/>
          <w:sz w:val="24"/>
          <w:szCs w:val="24"/>
          <w:rtl w:val="0"/>
        </w:rPr>
        <w:t xml:space="preserve">. Podcast retrieved from </w:t>
      </w:r>
      <w:hyperlink r:id="rId12">
        <w:r w:rsidDel="00000000" w:rsidR="00000000" w:rsidRPr="00000000">
          <w:rPr>
            <w:rFonts w:ascii="Arial" w:cs="Arial" w:eastAsia="Arial" w:hAnsi="Arial"/>
            <w:sz w:val="24"/>
            <w:szCs w:val="24"/>
            <w:rtl w:val="0"/>
          </w:rPr>
          <w:t xml:space="preserve">http://www.adveeducation.com</w:t>
        </w:r>
      </w:hyperlink>
      <w:r w:rsidDel="00000000" w:rsidR="00000000" w:rsidRPr="00000000">
        <w:rPr>
          <w:rtl w:val="0"/>
        </w:rPr>
      </w:r>
    </w:p>
    <w:p w:rsidR="00000000" w:rsidDel="00000000" w:rsidP="00000000" w:rsidRDefault="00000000" w:rsidRPr="00000000" w14:paraId="000000DA">
      <w:pPr>
        <w:spacing w:before="2" w:lineRule="auto"/>
        <w:ind w:left="284" w:right="3" w:hanging="284"/>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Reference List: Other Non-Print Sources</w:t>
      </w:r>
    </w:p>
    <w:p w:rsidR="00000000" w:rsidDel="00000000" w:rsidP="00000000" w:rsidRDefault="00000000" w:rsidRPr="00000000" w14:paraId="000000DB">
      <w:pPr>
        <w:spacing w:before="2" w:lineRule="auto"/>
        <w:ind w:left="284" w:right="3" w:hanging="284"/>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 Interviews, Email, and Other Personal Communication</w:t>
      </w:r>
    </w:p>
    <w:p w:rsidR="00000000" w:rsidDel="00000000" w:rsidP="00000000" w:rsidRDefault="00000000" w:rsidRPr="00000000" w14:paraId="000000DC">
      <w:pPr>
        <w:spacing w:before="2" w:lineRule="auto"/>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personal communication is included in your reference list; instead, parenthetically cite the communicators name, the fact that it was personal communication, and the date of the communication in your main text only.</w:t>
      </w:r>
    </w:p>
    <w:p w:rsidR="00000000" w:rsidDel="00000000" w:rsidP="00000000" w:rsidRDefault="00000000" w:rsidRPr="00000000" w14:paraId="000000DD">
      <w:pPr>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E">
      <w:pPr>
        <w:ind w:left="284" w:right="3" w:hanging="284"/>
        <w:rPr>
          <w:rFonts w:ascii="Arial" w:cs="Arial" w:eastAsia="Arial" w:hAnsi="Arial"/>
          <w:sz w:val="24"/>
          <w:szCs w:val="24"/>
        </w:rPr>
      </w:pPr>
      <w:r w:rsidDel="00000000" w:rsidR="00000000" w:rsidRPr="00000000">
        <w:rPr>
          <w:rFonts w:ascii="Arial" w:cs="Arial" w:eastAsia="Arial" w:hAnsi="Arial"/>
          <w:sz w:val="24"/>
          <w:szCs w:val="24"/>
          <w:rtl w:val="0"/>
        </w:rPr>
        <w:t xml:space="preserve">(E. Robbins, personal communication, January 4, 2001).</w:t>
      </w:r>
    </w:p>
    <w:p w:rsidR="00000000" w:rsidDel="00000000" w:rsidP="00000000" w:rsidRDefault="00000000" w:rsidRPr="00000000" w14:paraId="000000DF">
      <w:pPr>
        <w:spacing w:before="1" w:lineRule="auto"/>
        <w:ind w:left="284" w:right="3" w:hanging="284"/>
        <w:rPr>
          <w:rFonts w:ascii="Arial" w:cs="Arial" w:eastAsia="Arial" w:hAnsi="Arial"/>
          <w:sz w:val="24"/>
          <w:szCs w:val="24"/>
        </w:rPr>
      </w:pPr>
      <w:r w:rsidDel="00000000" w:rsidR="00000000" w:rsidRPr="00000000">
        <w:rPr>
          <w:rFonts w:ascii="Arial" w:cs="Arial" w:eastAsia="Arial" w:hAnsi="Arial"/>
          <w:sz w:val="24"/>
          <w:szCs w:val="24"/>
          <w:rtl w:val="0"/>
        </w:rPr>
        <w:t xml:space="preserve">A. P. Smith also claimed that many of her students had difficulties with APA style (personal communication, November 3, 2002).</w:t>
      </w:r>
    </w:p>
    <w:p w:rsidR="00000000" w:rsidDel="00000000" w:rsidP="00000000" w:rsidRDefault="00000000" w:rsidRPr="00000000" w14:paraId="000000E0">
      <w:pPr>
        <w:spacing w:before="11" w:lineRule="auto"/>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1">
      <w:pPr>
        <w:spacing w:line="275" w:lineRule="auto"/>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Motion Picture</w:t>
      </w:r>
    </w:p>
    <w:p w:rsidR="00000000" w:rsidDel="00000000" w:rsidP="00000000" w:rsidRDefault="00000000" w:rsidRPr="00000000" w14:paraId="000000E2">
      <w:pPr>
        <w:ind w:left="284" w:right="3" w:hanging="284"/>
        <w:rPr>
          <w:rFonts w:ascii="Arial" w:cs="Arial" w:eastAsia="Arial" w:hAnsi="Arial"/>
          <w:sz w:val="24"/>
          <w:szCs w:val="24"/>
        </w:rPr>
      </w:pPr>
      <w:r w:rsidDel="00000000" w:rsidR="00000000" w:rsidRPr="00000000">
        <w:rPr>
          <w:rFonts w:ascii="Arial" w:cs="Arial" w:eastAsia="Arial" w:hAnsi="Arial"/>
          <w:sz w:val="24"/>
          <w:szCs w:val="24"/>
          <w:rtl w:val="0"/>
        </w:rPr>
        <w:t xml:space="preserve">Smith, J. D. (Producer), &amp; Lee, R. (Director). (2022). The accounting scandal: Lessons from corporate collapse [Motion picture]. United States: Financial Insight Films.</w:t>
      </w:r>
    </w:p>
    <w:p w:rsidR="00000000" w:rsidDel="00000000" w:rsidP="00000000" w:rsidRDefault="00000000" w:rsidRPr="00000000" w14:paraId="000000E3">
      <w:pPr>
        <w:spacing w:before="1" w:line="275" w:lineRule="auto"/>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4">
      <w:pPr>
        <w:spacing w:before="1" w:line="275" w:lineRule="auto"/>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 Motion Picture or Video Tape with International or National Availability</w:t>
      </w:r>
    </w:p>
    <w:p w:rsidR="00000000" w:rsidDel="00000000" w:rsidP="00000000" w:rsidRDefault="00000000" w:rsidRPr="00000000" w14:paraId="000000E5">
      <w:pPr>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Smith, J. D. (Producer), &amp; Smithee, A. F. (Director). (2001). </w:t>
      </w:r>
      <w:r w:rsidDel="00000000" w:rsidR="00000000" w:rsidRPr="00000000">
        <w:rPr>
          <w:rFonts w:ascii="Arial" w:cs="Arial" w:eastAsia="Arial" w:hAnsi="Arial"/>
          <w:i w:val="1"/>
          <w:iCs w:val="1"/>
          <w:sz w:val="24"/>
          <w:szCs w:val="24"/>
          <w:rtl w:val="0"/>
        </w:rPr>
        <w:t xml:space="preserve">Really big disaster movie </w:t>
      </w:r>
      <w:r w:rsidDel="00000000" w:rsidR="00000000" w:rsidRPr="00000000">
        <w:rPr>
          <w:rFonts w:ascii="Arial" w:cs="Arial" w:eastAsia="Arial" w:hAnsi="Arial"/>
          <w:sz w:val="24"/>
          <w:szCs w:val="24"/>
          <w:rtl w:val="0"/>
        </w:rPr>
        <w:t xml:space="preserve">[ Motion picture]. United States: Paramount Pictures.</w:t>
      </w:r>
    </w:p>
    <w:p w:rsidR="00000000" w:rsidDel="00000000" w:rsidP="00000000" w:rsidRDefault="00000000" w:rsidRPr="00000000" w14:paraId="000000E6">
      <w:pPr>
        <w:spacing w:before="1" w:lineRule="auto"/>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7">
      <w:pPr>
        <w:spacing w:line="275" w:lineRule="auto"/>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 Motion Picture or Video Tape with Limited Availability</w:t>
      </w:r>
    </w:p>
    <w:p w:rsidR="00000000" w:rsidDel="00000000" w:rsidP="00000000" w:rsidRDefault="00000000" w:rsidRPr="00000000" w14:paraId="000000E8">
      <w:pPr>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Harris, M. (Producer), &amp; Turley, M. J. (Director). (2002). </w:t>
      </w:r>
      <w:r w:rsidDel="00000000" w:rsidR="00000000" w:rsidRPr="00000000">
        <w:rPr>
          <w:rFonts w:ascii="Arial" w:cs="Arial" w:eastAsia="Arial" w:hAnsi="Arial"/>
          <w:i w:val="1"/>
          <w:iCs w:val="1"/>
          <w:sz w:val="24"/>
          <w:szCs w:val="24"/>
          <w:rtl w:val="0"/>
        </w:rPr>
        <w:t xml:space="preserve">Writing labs: A history </w:t>
      </w:r>
      <w:r w:rsidDel="00000000" w:rsidR="00000000" w:rsidRPr="00000000">
        <w:rPr>
          <w:rFonts w:ascii="Arial" w:cs="Arial" w:eastAsia="Arial" w:hAnsi="Arial"/>
          <w:sz w:val="24"/>
          <w:szCs w:val="24"/>
          <w:rtl w:val="0"/>
        </w:rPr>
        <w:t xml:space="preserve">[Motion picture]. (Available from Purdue University Pictures, 500 Oval Drive, West Lafayette, IN 47907)</w:t>
      </w:r>
    </w:p>
    <w:p w:rsidR="00000000" w:rsidDel="00000000" w:rsidP="00000000" w:rsidRDefault="00000000" w:rsidRPr="00000000" w14:paraId="000000E9">
      <w:pPr>
        <w:spacing w:before="2" w:lineRule="auto"/>
        <w:ind w:left="284" w:right="3" w:hanging="284"/>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EA">
      <w:pPr>
        <w:spacing w:before="2" w:lineRule="auto"/>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Television Broadcast or Series Episode</w:t>
      </w:r>
    </w:p>
    <w:p w:rsidR="00000000" w:rsidDel="00000000" w:rsidP="00000000" w:rsidRDefault="00000000" w:rsidRPr="00000000" w14:paraId="000000EB">
      <w:pPr>
        <w:spacing w:line="275" w:lineRule="auto"/>
        <w:ind w:left="284" w:right="3" w:hanging="284"/>
        <w:rPr>
          <w:rFonts w:ascii="Arial" w:cs="Arial" w:eastAsia="Arial" w:hAnsi="Arial"/>
          <w:sz w:val="24"/>
          <w:szCs w:val="24"/>
        </w:rPr>
      </w:pPr>
      <w:r w:rsidDel="00000000" w:rsidR="00000000" w:rsidRPr="00000000">
        <w:rPr>
          <w:rFonts w:ascii="Arial" w:cs="Arial" w:eastAsia="Arial" w:hAnsi="Arial"/>
          <w:sz w:val="24"/>
          <w:szCs w:val="24"/>
          <w:rtl w:val="0"/>
        </w:rPr>
        <w:t xml:space="preserve">Producer, P. P. (Producer). (Date of broadcast or copyright). Title of broadcast [</w:t>
      </w:r>
      <w:r w:rsidDel="00000000" w:rsidR="00000000" w:rsidRPr="00000000">
        <w:rPr>
          <w:rFonts w:ascii="Arial" w:cs="Arial" w:eastAsia="Arial" w:hAnsi="Arial"/>
          <w:i w:val="1"/>
          <w:iCs w:val="1"/>
          <w:sz w:val="24"/>
          <w:szCs w:val="24"/>
          <w:rtl w:val="0"/>
        </w:rPr>
        <w:t xml:space="preserve">Television broadcast or Television series </w:t>
      </w:r>
      <w:r w:rsidDel="00000000" w:rsidR="00000000" w:rsidRPr="00000000">
        <w:rPr>
          <w:rFonts w:ascii="Arial" w:cs="Arial" w:eastAsia="Arial" w:hAnsi="Arial"/>
          <w:sz w:val="24"/>
          <w:szCs w:val="24"/>
          <w:rtl w:val="0"/>
        </w:rPr>
        <w:t xml:space="preserve">]. City of origin: Studio or distributor.</w:t>
      </w:r>
    </w:p>
    <w:p w:rsidR="00000000" w:rsidDel="00000000" w:rsidP="00000000" w:rsidRDefault="00000000" w:rsidRPr="00000000" w14:paraId="000000EC">
      <w:pPr>
        <w:spacing w:before="2" w:lineRule="auto"/>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D">
      <w:pPr>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Single Episode of a Television Series</w:t>
      </w:r>
    </w:p>
    <w:p w:rsidR="00000000" w:rsidDel="00000000" w:rsidP="00000000" w:rsidRDefault="00000000" w:rsidRPr="00000000" w14:paraId="000000EE">
      <w:pPr>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Writer, W. W. (Writer), &amp; Director, D. D. (Director). (Date of publication). Title of episode [Television series episode]. In P. Producer (Producer), </w:t>
      </w:r>
      <w:r w:rsidDel="00000000" w:rsidR="00000000" w:rsidRPr="00000000">
        <w:rPr>
          <w:rFonts w:ascii="Arial" w:cs="Arial" w:eastAsia="Arial" w:hAnsi="Arial"/>
          <w:i w:val="1"/>
          <w:iCs w:val="1"/>
          <w:sz w:val="24"/>
          <w:szCs w:val="24"/>
          <w:rtl w:val="0"/>
        </w:rPr>
        <w:t xml:space="preserve">Series title</w:t>
      </w:r>
      <w:r w:rsidDel="00000000" w:rsidR="00000000" w:rsidRPr="00000000">
        <w:rPr>
          <w:rFonts w:ascii="Arial" w:cs="Arial" w:eastAsia="Arial" w:hAnsi="Arial"/>
          <w:sz w:val="24"/>
          <w:szCs w:val="24"/>
          <w:rtl w:val="0"/>
        </w:rPr>
        <w:t xml:space="preserve">. City of origin: Studio or distributor.</w:t>
      </w:r>
    </w:p>
    <w:p w:rsidR="00000000" w:rsidDel="00000000" w:rsidP="00000000" w:rsidRDefault="00000000" w:rsidRPr="00000000" w14:paraId="000000EF">
      <w:pPr>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Wendy, S. W. (Writer), &amp; Martian, I. R. (Director). (1986). The rising angel and the falling ape [Television series episode]. In D. Dude (Producer), </w:t>
      </w:r>
      <w:r w:rsidDel="00000000" w:rsidR="00000000" w:rsidRPr="00000000">
        <w:rPr>
          <w:rFonts w:ascii="Arial" w:cs="Arial" w:eastAsia="Arial" w:hAnsi="Arial"/>
          <w:i w:val="1"/>
          <w:iCs w:val="1"/>
          <w:sz w:val="24"/>
          <w:szCs w:val="24"/>
          <w:rtl w:val="0"/>
        </w:rPr>
        <w:t xml:space="preserve">Creatures and monsters</w:t>
      </w:r>
      <w:r w:rsidDel="00000000" w:rsidR="00000000" w:rsidRPr="00000000">
        <w:rPr>
          <w:rFonts w:ascii="Arial" w:cs="Arial" w:eastAsia="Arial" w:hAnsi="Arial"/>
          <w:sz w:val="24"/>
          <w:szCs w:val="24"/>
          <w:rtl w:val="0"/>
        </w:rPr>
        <w:t xml:space="preserve">. Los Angeles, CA: Belarus Studios.</w:t>
      </w:r>
    </w:p>
    <w:p w:rsidR="00000000" w:rsidDel="00000000" w:rsidP="00000000" w:rsidRDefault="00000000" w:rsidRPr="00000000" w14:paraId="000000F0">
      <w:pPr>
        <w:spacing w:line="274" w:lineRule="auto"/>
        <w:ind w:left="284" w:right="3" w:hanging="284"/>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F1">
      <w:pPr>
        <w:spacing w:line="274" w:lineRule="auto"/>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Television Broadcast</w:t>
      </w:r>
    </w:p>
    <w:p w:rsidR="00000000" w:rsidDel="00000000" w:rsidP="00000000" w:rsidRDefault="00000000" w:rsidRPr="00000000" w14:paraId="000000F2">
      <w:pPr>
        <w:spacing w:line="274" w:lineRule="auto"/>
        <w:ind w:left="284" w:right="3" w:hanging="284"/>
        <w:rPr>
          <w:rFonts w:ascii="Arial" w:cs="Arial" w:eastAsia="Arial" w:hAnsi="Arial"/>
          <w:i w:val="1"/>
          <w:iCs w:val="1"/>
          <w:sz w:val="24"/>
          <w:szCs w:val="24"/>
        </w:rPr>
      </w:pPr>
      <w:r w:rsidDel="00000000" w:rsidR="00000000" w:rsidRPr="00000000">
        <w:rPr>
          <w:rFonts w:ascii="Arial" w:cs="Arial" w:eastAsia="Arial" w:hAnsi="Arial"/>
          <w:sz w:val="24"/>
          <w:szCs w:val="24"/>
          <w:rtl w:val="0"/>
        </w:rPr>
        <w:t xml:space="preserve">Important, I. M. (Producer). (2023, November 1). The future of public sector accounting [Television broadcast]. Jakarta: Metro TV.</w:t>
      </w:r>
      <w:r w:rsidDel="00000000" w:rsidR="00000000" w:rsidRPr="00000000">
        <w:rPr>
          <w:rtl w:val="0"/>
        </w:rPr>
      </w:r>
    </w:p>
    <w:p w:rsidR="00000000" w:rsidDel="00000000" w:rsidP="00000000" w:rsidRDefault="00000000" w:rsidRPr="00000000" w14:paraId="000000F3">
      <w:pPr>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4">
      <w:pPr>
        <w:spacing w:line="275" w:lineRule="auto"/>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 Television Series</w:t>
      </w:r>
    </w:p>
    <w:p w:rsidR="00000000" w:rsidDel="00000000" w:rsidP="00000000" w:rsidRDefault="00000000" w:rsidRPr="00000000" w14:paraId="000000F5">
      <w:pPr>
        <w:spacing w:line="275" w:lineRule="auto"/>
        <w:ind w:left="284" w:right="3" w:hanging="284"/>
        <w:rPr>
          <w:rFonts w:ascii="Arial" w:cs="Arial" w:eastAsia="Arial" w:hAnsi="Arial"/>
          <w:sz w:val="24"/>
          <w:szCs w:val="24"/>
        </w:rPr>
      </w:pPr>
      <w:r w:rsidDel="00000000" w:rsidR="00000000" w:rsidRPr="00000000">
        <w:rPr>
          <w:rFonts w:ascii="Arial" w:cs="Arial" w:eastAsia="Arial" w:hAnsi="Arial"/>
          <w:sz w:val="24"/>
          <w:szCs w:val="24"/>
          <w:rtl w:val="0"/>
        </w:rPr>
        <w:t xml:space="preserve">Wendy, S. W. (Writer), &amp; Hartono, B. (Director). (2021). Creative accounting practices exposed [Television series episode]. In D. Firmansyah (Producer), Corporate investigations. Jakarta: Business Channel Indonesia.</w:t>
      </w:r>
    </w:p>
    <w:p w:rsidR="00000000" w:rsidDel="00000000" w:rsidP="00000000" w:rsidRDefault="00000000" w:rsidRPr="00000000" w14:paraId="000000F6">
      <w:pPr>
        <w:ind w:left="284" w:right="3" w:hanging="284"/>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7">
      <w:pPr>
        <w:ind w:left="284" w:right="3" w:hanging="284"/>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Music Recording</w:t>
      </w:r>
    </w:p>
    <w:p w:rsidR="00000000" w:rsidDel="00000000" w:rsidP="00000000" w:rsidRDefault="00000000" w:rsidRPr="00000000" w14:paraId="000000F8">
      <w:pPr>
        <w:ind w:left="284" w:right="3"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Rahman, A. (2022). Double-entry system explained [Recorded by Accounting Education Band]. On Learning accounting basics [MP3]. Jakarta: EduMusic Records.</w:t>
      </w:r>
    </w:p>
    <w:sectPr>
      <w:headerReference r:id="rId13" w:type="default"/>
      <w:footerReference r:id="rId14" w:type="default"/>
      <w:pgSz w:h="16838" w:w="11906" w:orient="portrait"/>
      <w:pgMar w:bottom="1701" w:top="1843" w:left="1701" w:right="1701" w:header="566.9291338582677" w:footer="566.929133858267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57150" distT="57150" distL="57150" distR="57150" hidden="0" layoutInCell="1" locked="0" relativeHeight="0" simplePos="0">
              <wp:simplePos x="0" y="0"/>
              <wp:positionH relativeFrom="column">
                <wp:posOffset>-119534</wp:posOffset>
              </wp:positionH>
              <wp:positionV relativeFrom="paragraph">
                <wp:posOffset>-85724</wp:posOffset>
              </wp:positionV>
              <wp:extent cx="5638800" cy="374570"/>
              <wp:effectExtent b="0" l="0" r="0" t="0"/>
              <wp:wrapNone/>
              <wp:docPr id="2" name=""/>
              <a:graphic>
                <a:graphicData uri="http://schemas.microsoft.com/office/word/2010/wordprocessingGroup">
                  <wpg:wgp>
                    <wpg:cNvGrpSpPr/>
                    <wpg:grpSpPr>
                      <a:xfrm>
                        <a:off x="2869500" y="3610650"/>
                        <a:ext cx="5638800" cy="374570"/>
                        <a:chOff x="2869500" y="3610650"/>
                        <a:chExt cx="5288950" cy="329375"/>
                      </a:xfrm>
                    </wpg:grpSpPr>
                    <wpg:grpSp>
                      <wpg:cNvGrpSpPr/>
                      <wpg:grpSpPr>
                        <a:xfrm>
                          <a:off x="2869500" y="3619980"/>
                          <a:ext cx="4953174" cy="320029"/>
                          <a:chOff x="0" y="0"/>
                          <a:chExt cx="5962650" cy="323850"/>
                        </a:xfrm>
                      </wpg:grpSpPr>
                      <wps:wsp>
                        <wps:cNvSpPr/>
                        <wps:cNvPr id="4" name="Shape 4"/>
                        <wps:spPr>
                          <a:xfrm>
                            <a:off x="0" y="0"/>
                            <a:ext cx="5962650" cy="323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19050" y="0"/>
                            <a:ext cx="5943600" cy="18826"/>
                          </a:xfrm>
                          <a:prstGeom prst="rect">
                            <a:avLst/>
                          </a:prstGeom>
                          <a:solidFill>
                            <a:schemeClr val="dk1"/>
                          </a:solidFill>
                          <a:ln cap="flat" cmpd="sng" w="12700">
                            <a:solidFill>
                              <a:schemeClr val="accen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19050" y="33335"/>
                            <a:ext cx="5943600" cy="225000"/>
                          </a:xfrm>
                          <a:prstGeom prst="rect">
                            <a:avLst/>
                          </a:prstGeom>
                          <a:no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7f7f7f"/>
                                  <w:sz w:val="22"/>
                                  <w:vertAlign w:val="baseline"/>
                                </w:rPr>
                                <w:t xml:space="preserve">LOMBA KARYA TULIS ILMIAH (LKTI)</w:t>
                              </w:r>
                            </w:p>
                          </w:txbxContent>
                        </wps:txbx>
                        <wps:bodyPr anchorCtr="0" anchor="b" bIns="0" lIns="91425" spcFirstLastPara="1" rIns="91425" wrap="square" tIns="45700">
                          <a:noAutofit/>
                        </wps:bodyPr>
                      </wps:wsp>
                    </wpg:grpSp>
                    <wps:wsp>
                      <wps:cNvCnPr/>
                      <wps:spPr>
                        <a:xfrm>
                          <a:off x="7822674" y="3764094"/>
                          <a:ext cx="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7822674" y="3764094"/>
                          <a:ext cx="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7817274" y="3610948"/>
                          <a:ext cx="5400" cy="278100"/>
                        </a:xfrm>
                        <a:prstGeom prst="straightConnector1">
                          <a:avLst/>
                        </a:prstGeom>
                        <a:noFill/>
                        <a:ln cap="flat" cmpd="sng" w="28575">
                          <a:solidFill>
                            <a:srgbClr val="0B5394"/>
                          </a:solidFill>
                          <a:prstDash val="solid"/>
                          <a:round/>
                          <a:headEnd len="med" w="med" type="none"/>
                          <a:tailEnd len="med" w="med" type="none"/>
                        </a:ln>
                      </wps:spPr>
                      <wps:bodyPr anchorCtr="0" anchor="ctr" bIns="91425" lIns="91425" spcFirstLastPara="1" rIns="91425" wrap="square" tIns="91425">
                        <a:noAutofit/>
                      </wps:bodyPr>
                    </wps:wsp>
                    <wps:wsp>
                      <wps:cNvCnPr/>
                      <wps:spPr>
                        <a:xfrm>
                          <a:off x="7822674" y="3875411"/>
                          <a:ext cx="335400" cy="8400"/>
                        </a:xfrm>
                        <a:prstGeom prst="straightConnector1">
                          <a:avLst/>
                        </a:prstGeom>
                        <a:noFill/>
                        <a:ln cap="flat" cmpd="sng" w="28575">
                          <a:solidFill>
                            <a:srgbClr val="0B5394"/>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1" distB="57150" distT="57150" distL="57150" distR="57150" hidden="0" layoutInCell="1" locked="0" relativeHeight="0" simplePos="0">
              <wp:simplePos x="0" y="0"/>
              <wp:positionH relativeFrom="column">
                <wp:posOffset>-119534</wp:posOffset>
              </wp:positionH>
              <wp:positionV relativeFrom="paragraph">
                <wp:posOffset>-85724</wp:posOffset>
              </wp:positionV>
              <wp:extent cx="5638800" cy="374570"/>
              <wp:effectExtent b="0" l="0" r="0" t="0"/>
              <wp:wrapNone/>
              <wp:docPr id="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5638800" cy="37457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pPr>
    <w:r w:rsidDel="00000000" w:rsidR="00000000" w:rsidRPr="00000000">
      <w:rPr/>
      <w:drawing>
        <wp:anchor allowOverlap="1" behindDoc="0" distB="0" distT="0" distL="114300" distR="114300" hidden="0" layoutInCell="1" locked="0" relativeHeight="0" simplePos="0">
          <wp:simplePos x="0" y="0"/>
          <wp:positionH relativeFrom="margin">
            <wp:posOffset>47625</wp:posOffset>
          </wp:positionH>
          <wp:positionV relativeFrom="margin">
            <wp:posOffset>-848404</wp:posOffset>
          </wp:positionV>
          <wp:extent cx="333375" cy="333375"/>
          <wp:effectExtent b="0" l="0" r="0" t="0"/>
          <wp:wrapSquare wrapText="bothSides" distB="0" distT="0" distL="114300" distR="114300"/>
          <wp:docPr descr="Politeknik Negeri Madiun - Wikipedia bahasa Indonesia ..." id="4" name="image1.png"/>
          <a:graphic>
            <a:graphicData uri="http://schemas.openxmlformats.org/drawingml/2006/picture">
              <pic:pic>
                <pic:nvPicPr>
                  <pic:cNvPr descr="Politeknik Negeri Madiun - Wikipedia bahasa Indonesia ..." id="0" name="image1.png"/>
                  <pic:cNvPicPr preferRelativeResize="0"/>
                </pic:nvPicPr>
                <pic:blipFill>
                  <a:blip r:embed="rId1"/>
                  <a:srcRect b="0" l="0" r="0" t="0"/>
                  <a:stretch>
                    <a:fillRect/>
                  </a:stretch>
                </pic:blipFill>
                <pic:spPr>
                  <a:xfrm>
                    <a:off x="0" y="0"/>
                    <a:ext cx="333375" cy="333375"/>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4981575</wp:posOffset>
          </wp:positionH>
          <wp:positionV relativeFrom="paragraph">
            <wp:posOffset>-72882</wp:posOffset>
          </wp:positionV>
          <wp:extent cx="620078" cy="406258"/>
          <wp:effectExtent b="0" l="0" r="0" t="0"/>
          <wp:wrapSquare wrapText="bothSides" distB="0" distT="0" distL="114300" distR="114300"/>
          <wp:docPr id="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620078" cy="406258"/>
                  </a:xfrm>
                  <a:prstGeom prst="rect"/>
                  <a:ln/>
                </pic:spPr>
              </pic:pic>
            </a:graphicData>
          </a:graphic>
        </wp:anchor>
      </w:drawing>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tl w:val="0"/>
      </w:rPr>
      <w:t xml:space="preserve">            </w:t>
    </w:r>
    <w:r w:rsidDel="00000000" w:rsidR="00000000" w:rsidRPr="00000000">
      <w:rPr/>
      <mc:AlternateContent>
        <mc:Choice Requires="wpg">
          <w:drawing>
            <wp:anchor allowOverlap="1" behindDoc="1" distB="0" distT="0" distL="118745" distR="118745" hidden="0" layoutInCell="1" locked="0" relativeHeight="0" simplePos="0">
              <wp:simplePos x="0" y="0"/>
              <wp:positionH relativeFrom="margin">
                <wp:posOffset>479108</wp:posOffset>
              </wp:positionH>
              <wp:positionV relativeFrom="page">
                <wp:posOffset>360000</wp:posOffset>
              </wp:positionV>
              <wp:extent cx="4550092" cy="257175"/>
              <wp:effectExtent b="0" l="0" r="0" t="0"/>
              <wp:wrapNone/>
              <wp:docPr id="1" name=""/>
              <a:graphic>
                <a:graphicData uri="http://schemas.microsoft.com/office/word/2010/wordprocessingShape">
                  <wps:wsp>
                    <wps:cNvSpPr/>
                    <wps:cNvPr id="2" name="Shape 2"/>
                    <wps:spPr>
                      <a:xfrm>
                        <a:off x="3128580" y="3654270"/>
                        <a:ext cx="4434840" cy="251460"/>
                      </a:xfrm>
                      <a:prstGeom prst="rect">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1"/>
                              <w:strike w:val="0"/>
                              <w:color w:val="ffffff"/>
                              <w:sz w:val="22"/>
                              <w:vertAlign w:val="baseline"/>
                            </w:rPr>
                            <w:t xml:space="preserve">OLIMPIADE AKUNTANSI VOKASI (OAV) IX 2026</w:t>
                          </w:r>
                        </w:p>
                      </w:txbxContent>
                    </wps:txbx>
                    <wps:bodyPr anchorCtr="0" anchor="ctr" bIns="45700" lIns="91425" spcFirstLastPara="1" rIns="91425" wrap="square" tIns="45700">
                      <a:noAutofit/>
                    </wps:bodyPr>
                  </wps:wsp>
                </a:graphicData>
              </a:graphic>
            </wp:anchor>
          </w:drawing>
        </mc:Choice>
        <mc:Fallback>
          <w:drawing>
            <wp:anchor allowOverlap="1" behindDoc="1" distB="0" distT="0" distL="118745" distR="118745" hidden="0" layoutInCell="1" locked="0" relativeHeight="0" simplePos="0">
              <wp:simplePos x="0" y="0"/>
              <wp:positionH relativeFrom="margin">
                <wp:posOffset>479108</wp:posOffset>
              </wp:positionH>
              <wp:positionV relativeFrom="page">
                <wp:posOffset>360000</wp:posOffset>
              </wp:positionV>
              <wp:extent cx="4550092" cy="257175"/>
              <wp:effectExtent b="0" l="0" r="0" t="0"/>
              <wp:wrapNone/>
              <wp:docPr id="1"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4550092" cy="257175"/>
                      </a:xfrm>
                      <a:prstGeom prst="rect"/>
                      <a:ln/>
                    </pic:spPr>
                  </pic:pic>
                </a:graphicData>
              </a:graphic>
            </wp:anchor>
          </w:drawing>
        </mc:Fallback>
      </mc:AlternateContent>
    </w: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Politeknik Negeri Madiun 23 – 25 Juni 2026</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iCs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before="40" w:lineRule="auto"/>
    </w:pPr>
    <w:rPr>
      <w:i w:val="1"/>
      <w:iCs w:val="1"/>
      <w:color w:val="595959"/>
    </w:rPr>
  </w:style>
  <w:style w:type="paragraph" w:styleId="Title">
    <w:name w:val="Title"/>
    <w:basedOn w:val="Normal"/>
    <w:next w:val="Normal"/>
    <w:pPr>
      <w:spacing w:after="80" w:lineRule="auto"/>
    </w:pPr>
    <w:rPr>
      <w:rFonts w:ascii="Calibri" w:cs="Calibri" w:eastAsia="Calibri" w:hAnsi="Calibri"/>
      <w:sz w:val="56"/>
      <w:szCs w:val="56"/>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ifac.org" TargetMode="External"/><Relationship Id="rId10" Type="http://schemas.openxmlformats.org/officeDocument/2006/relationships/hyperlink" Target="http://www.apastyle.org/)" TargetMode="External"/><Relationship Id="rId13" Type="http://schemas.openxmlformats.org/officeDocument/2006/relationships/header" Target="header1.xml"/><Relationship Id="rId12" Type="http://schemas.openxmlformats.org/officeDocument/2006/relationships/hyperlink" Target="http://www.adveeducation.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apastyle.org/)"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korespondensi@mail.com" TargetMode="External"/><Relationship Id="rId8"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g8zIImpqBBhLLZSSWkGkVEV8jA==">CgMxLjA4AHIhMXdzWDQ2QmxzNVhYMnpXcHVpYUJGOG1QNG1zdUN4WFlH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